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AA4" w:rsidRPr="00B03AA4" w:rsidRDefault="00B03AA4" w:rsidP="00B03AA4">
      <w:pPr>
        <w:ind w:left="3686" w:hanging="1"/>
        <w:jc w:val="center"/>
        <w:rPr>
          <w:rFonts w:ascii="Times New Roman" w:hAnsi="Times New Roman"/>
          <w:sz w:val="28"/>
          <w:szCs w:val="28"/>
        </w:rPr>
      </w:pPr>
      <w:r w:rsidRPr="00B03AA4">
        <w:rPr>
          <w:rFonts w:ascii="Times New Roman" w:hAnsi="Times New Roman"/>
          <w:sz w:val="28"/>
          <w:szCs w:val="28"/>
        </w:rPr>
        <w:t>УТВЕРЖДЕНО</w:t>
      </w:r>
    </w:p>
    <w:p w:rsidR="00B03AA4" w:rsidRPr="00B03AA4" w:rsidRDefault="00B03AA4" w:rsidP="00B03AA4">
      <w:pPr>
        <w:ind w:left="3686" w:hanging="1"/>
        <w:jc w:val="center"/>
        <w:rPr>
          <w:rFonts w:ascii="Times New Roman" w:hAnsi="Times New Roman"/>
          <w:sz w:val="28"/>
          <w:szCs w:val="28"/>
        </w:rPr>
      </w:pPr>
      <w:r w:rsidRPr="00B03AA4">
        <w:rPr>
          <w:rFonts w:ascii="Times New Roman" w:hAnsi="Times New Roman"/>
          <w:bCs/>
          <w:sz w:val="28"/>
          <w:szCs w:val="28"/>
        </w:rPr>
        <w:t>Решением Совета директоров</w:t>
      </w:r>
    </w:p>
    <w:p w:rsidR="00B03AA4" w:rsidRPr="00B03AA4" w:rsidRDefault="00B03AA4" w:rsidP="00B03AA4">
      <w:pPr>
        <w:ind w:left="3686" w:hanging="1"/>
        <w:jc w:val="center"/>
        <w:rPr>
          <w:rFonts w:ascii="Times New Roman" w:hAnsi="Times New Roman"/>
          <w:sz w:val="28"/>
          <w:szCs w:val="28"/>
        </w:rPr>
      </w:pPr>
      <w:r w:rsidRPr="00B03AA4">
        <w:rPr>
          <w:rFonts w:ascii="Times New Roman" w:hAnsi="Times New Roman"/>
          <w:bCs/>
          <w:sz w:val="28"/>
          <w:szCs w:val="28"/>
        </w:rPr>
        <w:t>ПАО «Газпром газораспределение Уфа»</w:t>
      </w:r>
    </w:p>
    <w:p w:rsidR="00B03AA4" w:rsidRPr="00B03AA4" w:rsidRDefault="00B03AA4" w:rsidP="00B03AA4">
      <w:pPr>
        <w:ind w:left="3686" w:hanging="1"/>
        <w:jc w:val="center"/>
        <w:rPr>
          <w:rFonts w:ascii="Times New Roman" w:hAnsi="Times New Roman"/>
          <w:sz w:val="28"/>
          <w:szCs w:val="28"/>
        </w:rPr>
      </w:pPr>
      <w:r w:rsidRPr="00B03AA4">
        <w:rPr>
          <w:rFonts w:ascii="Times New Roman" w:hAnsi="Times New Roman"/>
          <w:sz w:val="28"/>
          <w:szCs w:val="28"/>
        </w:rPr>
        <w:t>от «18» ноября 2024</w:t>
      </w:r>
      <w:r w:rsidRPr="00B03AA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B03AA4">
        <w:rPr>
          <w:rFonts w:ascii="Times New Roman" w:hAnsi="Times New Roman"/>
          <w:sz w:val="28"/>
          <w:szCs w:val="28"/>
        </w:rPr>
        <w:t xml:space="preserve">г. </w:t>
      </w:r>
    </w:p>
    <w:p w:rsidR="00B03AA4" w:rsidRPr="00B03AA4" w:rsidRDefault="00B03AA4" w:rsidP="00B03AA4">
      <w:pPr>
        <w:ind w:left="3686" w:hanging="1"/>
        <w:jc w:val="center"/>
        <w:rPr>
          <w:rFonts w:ascii="Times New Roman" w:hAnsi="Times New Roman"/>
          <w:sz w:val="28"/>
          <w:szCs w:val="28"/>
        </w:rPr>
      </w:pPr>
      <w:r w:rsidRPr="00B03AA4">
        <w:rPr>
          <w:rFonts w:ascii="Times New Roman" w:hAnsi="Times New Roman"/>
          <w:sz w:val="28"/>
          <w:szCs w:val="28"/>
        </w:rPr>
        <w:t>(Протокол № 12 от 18.11.2024)</w:t>
      </w:r>
    </w:p>
    <w:p w:rsidR="002049E4" w:rsidRDefault="002049E4">
      <w:pPr>
        <w:ind w:left="3686" w:firstLine="567"/>
        <w:jc w:val="center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:rsidR="002049E4" w:rsidRDefault="002049E4">
      <w:pPr>
        <w:rPr>
          <w:rFonts w:ascii="Times New Roman" w:hAnsi="Times New Roman"/>
          <w:sz w:val="28"/>
          <w:szCs w:val="28"/>
        </w:rPr>
      </w:pPr>
    </w:p>
    <w:p w:rsidR="002049E4" w:rsidRDefault="002049E4">
      <w:pPr>
        <w:rPr>
          <w:rFonts w:ascii="Times New Roman" w:hAnsi="Times New Roman"/>
          <w:sz w:val="28"/>
          <w:szCs w:val="28"/>
        </w:rPr>
      </w:pPr>
    </w:p>
    <w:p w:rsidR="002049E4" w:rsidRDefault="002049E4">
      <w:pPr>
        <w:rPr>
          <w:rFonts w:ascii="Times New Roman" w:hAnsi="Times New Roman"/>
          <w:sz w:val="28"/>
          <w:szCs w:val="28"/>
        </w:rPr>
      </w:pPr>
    </w:p>
    <w:p w:rsidR="002049E4" w:rsidRDefault="002049E4">
      <w:pPr>
        <w:rPr>
          <w:rFonts w:ascii="Times New Roman" w:hAnsi="Times New Roman"/>
          <w:sz w:val="28"/>
          <w:szCs w:val="28"/>
        </w:rPr>
      </w:pPr>
    </w:p>
    <w:p w:rsidR="002049E4" w:rsidRDefault="002049E4">
      <w:pPr>
        <w:rPr>
          <w:rFonts w:ascii="Times New Roman" w:hAnsi="Times New Roman"/>
          <w:sz w:val="28"/>
          <w:szCs w:val="28"/>
        </w:rPr>
      </w:pPr>
    </w:p>
    <w:p w:rsidR="002049E4" w:rsidRDefault="002049E4">
      <w:pPr>
        <w:rPr>
          <w:rFonts w:ascii="Times New Roman" w:hAnsi="Times New Roman"/>
          <w:sz w:val="28"/>
          <w:szCs w:val="28"/>
        </w:rPr>
      </w:pPr>
    </w:p>
    <w:p w:rsidR="002049E4" w:rsidRDefault="002049E4">
      <w:pPr>
        <w:rPr>
          <w:rFonts w:ascii="Times New Roman" w:hAnsi="Times New Roman"/>
          <w:sz w:val="28"/>
          <w:szCs w:val="28"/>
        </w:rPr>
      </w:pPr>
    </w:p>
    <w:p w:rsidR="002049E4" w:rsidRDefault="002049E4">
      <w:pPr>
        <w:rPr>
          <w:rFonts w:ascii="Times New Roman" w:hAnsi="Times New Roman"/>
          <w:sz w:val="28"/>
          <w:szCs w:val="28"/>
        </w:rPr>
      </w:pPr>
    </w:p>
    <w:p w:rsidR="002049E4" w:rsidRDefault="002049E4">
      <w:pPr>
        <w:rPr>
          <w:rFonts w:ascii="Times New Roman" w:hAnsi="Times New Roman"/>
          <w:sz w:val="28"/>
          <w:szCs w:val="28"/>
        </w:rPr>
      </w:pPr>
    </w:p>
    <w:p w:rsidR="002049E4" w:rsidRDefault="002049E4">
      <w:pPr>
        <w:rPr>
          <w:rFonts w:ascii="Times New Roman" w:hAnsi="Times New Roman"/>
          <w:sz w:val="28"/>
          <w:szCs w:val="28"/>
        </w:rPr>
      </w:pPr>
    </w:p>
    <w:p w:rsidR="002049E4" w:rsidRDefault="002049E4">
      <w:pPr>
        <w:rPr>
          <w:rFonts w:ascii="Times New Roman" w:hAnsi="Times New Roman"/>
          <w:sz w:val="28"/>
          <w:szCs w:val="28"/>
        </w:rPr>
      </w:pPr>
    </w:p>
    <w:p w:rsidR="002049E4" w:rsidRDefault="002049E4">
      <w:pPr>
        <w:rPr>
          <w:rFonts w:ascii="Times New Roman" w:hAnsi="Times New Roman"/>
          <w:sz w:val="28"/>
          <w:szCs w:val="28"/>
        </w:rPr>
      </w:pPr>
    </w:p>
    <w:p w:rsidR="002049E4" w:rsidRDefault="002049E4">
      <w:pPr>
        <w:rPr>
          <w:rFonts w:ascii="Times New Roman" w:hAnsi="Times New Roman"/>
          <w:sz w:val="28"/>
          <w:szCs w:val="28"/>
        </w:rPr>
      </w:pPr>
    </w:p>
    <w:p w:rsidR="002049E4" w:rsidRDefault="002049E4">
      <w:pPr>
        <w:rPr>
          <w:rFonts w:ascii="Times New Roman" w:hAnsi="Times New Roman"/>
          <w:sz w:val="28"/>
          <w:szCs w:val="28"/>
        </w:rPr>
      </w:pPr>
    </w:p>
    <w:p w:rsidR="002049E4" w:rsidRDefault="00F35076">
      <w:pPr>
        <w:ind w:firstLine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eastAsia="Times New Roman" w:hAnsi="Times New Roman"/>
          <w:b/>
          <w:caps/>
          <w:sz w:val="28"/>
          <w:szCs w:val="28"/>
        </w:rPr>
        <w:t xml:space="preserve">ПоЛОЖЕНИЕ </w:t>
      </w:r>
    </w:p>
    <w:p w:rsidR="002049E4" w:rsidRDefault="00F35076">
      <w:pPr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по управлению риском ликвидности</w:t>
      </w:r>
    </w:p>
    <w:p w:rsidR="002049E4" w:rsidRDefault="00735884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ПАО «Газпром газораспределение</w:t>
      </w:r>
      <w:r w:rsidR="00F35076">
        <w:rPr>
          <w:rFonts w:ascii="Times New Roman" w:eastAsia="Times New Roman" w:hAnsi="Times New Roman"/>
          <w:b/>
          <w:sz w:val="28"/>
          <w:szCs w:val="28"/>
        </w:rPr>
        <w:t xml:space="preserve"> Уфа»</w:t>
      </w:r>
    </w:p>
    <w:p w:rsidR="002049E4" w:rsidRDefault="00F35076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(в новой редакции)</w:t>
      </w:r>
    </w:p>
    <w:p w:rsidR="002049E4" w:rsidRDefault="002049E4">
      <w:pPr>
        <w:jc w:val="center"/>
        <w:rPr>
          <w:rFonts w:ascii="Times New Roman" w:hAnsi="Times New Roman"/>
          <w:sz w:val="28"/>
          <w:szCs w:val="28"/>
        </w:rPr>
      </w:pPr>
    </w:p>
    <w:p w:rsidR="002049E4" w:rsidRDefault="002049E4">
      <w:pPr>
        <w:rPr>
          <w:rFonts w:ascii="Times New Roman" w:hAnsi="Times New Roman"/>
          <w:sz w:val="28"/>
          <w:szCs w:val="28"/>
        </w:rPr>
      </w:pPr>
    </w:p>
    <w:p w:rsidR="002049E4" w:rsidRDefault="002049E4">
      <w:pPr>
        <w:rPr>
          <w:rFonts w:ascii="Times New Roman" w:hAnsi="Times New Roman"/>
          <w:sz w:val="28"/>
          <w:szCs w:val="28"/>
        </w:rPr>
      </w:pPr>
    </w:p>
    <w:p w:rsidR="002049E4" w:rsidRDefault="002049E4">
      <w:pPr>
        <w:rPr>
          <w:rFonts w:ascii="Times New Roman" w:hAnsi="Times New Roman"/>
          <w:sz w:val="28"/>
          <w:szCs w:val="28"/>
        </w:rPr>
      </w:pPr>
    </w:p>
    <w:p w:rsidR="002049E4" w:rsidRDefault="002049E4">
      <w:pPr>
        <w:rPr>
          <w:rFonts w:ascii="Times New Roman" w:hAnsi="Times New Roman"/>
          <w:sz w:val="28"/>
          <w:szCs w:val="28"/>
        </w:rPr>
      </w:pPr>
    </w:p>
    <w:p w:rsidR="002049E4" w:rsidRDefault="002049E4">
      <w:pPr>
        <w:rPr>
          <w:rFonts w:ascii="Times New Roman" w:hAnsi="Times New Roman"/>
          <w:sz w:val="28"/>
          <w:szCs w:val="28"/>
        </w:rPr>
      </w:pPr>
    </w:p>
    <w:p w:rsidR="002049E4" w:rsidRDefault="002049E4">
      <w:pPr>
        <w:rPr>
          <w:rFonts w:ascii="Times New Roman" w:hAnsi="Times New Roman"/>
          <w:sz w:val="28"/>
          <w:szCs w:val="28"/>
        </w:rPr>
      </w:pPr>
    </w:p>
    <w:p w:rsidR="002049E4" w:rsidRDefault="002049E4">
      <w:pPr>
        <w:rPr>
          <w:rFonts w:ascii="Times New Roman" w:hAnsi="Times New Roman"/>
          <w:sz w:val="28"/>
          <w:szCs w:val="28"/>
        </w:rPr>
      </w:pPr>
    </w:p>
    <w:p w:rsidR="002049E4" w:rsidRDefault="002049E4">
      <w:pPr>
        <w:rPr>
          <w:rFonts w:ascii="Times New Roman" w:hAnsi="Times New Roman"/>
          <w:sz w:val="28"/>
          <w:szCs w:val="28"/>
        </w:rPr>
      </w:pPr>
    </w:p>
    <w:p w:rsidR="002049E4" w:rsidRDefault="002049E4">
      <w:pPr>
        <w:jc w:val="center"/>
        <w:rPr>
          <w:rFonts w:ascii="Times New Roman" w:hAnsi="Times New Roman"/>
          <w:b/>
          <w:sz w:val="28"/>
          <w:szCs w:val="28"/>
        </w:rPr>
        <w:sectPr w:rsidR="002049E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851" w:bottom="1134" w:left="1418" w:header="709" w:footer="709" w:gutter="0"/>
          <w:pgNumType w:start="2"/>
          <w:cols w:space="708"/>
          <w:docGrid w:linePitch="360"/>
        </w:sectPr>
      </w:pPr>
    </w:p>
    <w:sdt>
      <w:sdtPr>
        <w:rPr>
          <w:rFonts w:asciiTheme="minorHAnsi" w:eastAsiaTheme="minorEastAsia" w:hAnsiTheme="minorHAnsi"/>
          <w:b w:val="0"/>
          <w:bCs w:val="0"/>
          <w:sz w:val="24"/>
          <w:szCs w:val="24"/>
        </w:rPr>
        <w:id w:val="-706416381"/>
        <w:docPartObj>
          <w:docPartGallery w:val="Table of Contents"/>
          <w:docPartUnique/>
        </w:docPartObj>
      </w:sdtPr>
      <w:sdtEndPr/>
      <w:sdtContent>
        <w:p w:rsidR="002049E4" w:rsidRDefault="00F35076">
          <w:pPr>
            <w:pStyle w:val="af8"/>
            <w:spacing w:before="240" w:after="120" w:line="240" w:lineRule="auto"/>
            <w:rPr>
              <w:rFonts w:ascii="Times New Roman" w:hAnsi="Times New Roman"/>
              <w:b w:val="0"/>
              <w:bCs w:val="0"/>
            </w:rPr>
          </w:pPr>
          <w:r>
            <w:rPr>
              <w:rFonts w:ascii="Times New Roman" w:eastAsia="Times New Roman" w:hAnsi="Times New Roman"/>
              <w:spacing w:val="-20"/>
              <w:szCs w:val="28"/>
            </w:rPr>
            <w:t>ОГЛАВЛЕНИЕ</w:t>
          </w:r>
        </w:p>
        <w:p w:rsidR="002049E4" w:rsidRDefault="00F35076">
          <w:pPr>
            <w:pStyle w:val="12"/>
            <w:tabs>
              <w:tab w:val="clear" w:pos="9627"/>
              <w:tab w:val="left" w:pos="1134"/>
              <w:tab w:val="right" w:leader="dot" w:pos="9637"/>
            </w:tabs>
            <w:rPr>
              <w:rFonts w:ascii="Times New Roman" w:hAnsi="Times New Roman" w:cs="Times New Roman"/>
              <w:bCs w:val="0"/>
            </w:rPr>
          </w:pPr>
          <w:r>
            <w:rPr>
              <w:rFonts w:ascii="Times New Roman" w:eastAsia="Times New Roman" w:hAnsi="Times New Roman" w:cs="Times New Roman"/>
              <w:bCs w:val="0"/>
              <w:sz w:val="20"/>
            </w:rPr>
            <w:fldChar w:fldCharType="begin"/>
          </w:r>
          <w:r>
            <w:rPr>
              <w:rFonts w:ascii="Times New Roman" w:eastAsia="Times New Roman" w:hAnsi="Times New Roman" w:cs="Times New Roman"/>
              <w:bCs w:val="0"/>
              <w:sz w:val="20"/>
            </w:rPr>
            <w:instrText xml:space="preserve">TOC \o "1-3" \h \t "Heading 1;1;Heading 2;2;Heading 3;3" </w:instrText>
          </w:r>
          <w:r>
            <w:rPr>
              <w:rFonts w:ascii="Times New Roman" w:eastAsia="Times New Roman" w:hAnsi="Times New Roman" w:cs="Times New Roman"/>
              <w:bCs w:val="0"/>
              <w:sz w:val="20"/>
            </w:rPr>
            <w:fldChar w:fldCharType="separate"/>
          </w:r>
          <w:hyperlink w:anchor="_Toc1" w:tooltip="#_Toc1" w:history="1">
            <w:r>
              <w:rPr>
                <w:rFonts w:ascii="Times New Roman" w:eastAsiaTheme="majorEastAsia" w:hAnsi="Times New Roman" w:cs="Times New Roman"/>
                <w:bCs w:val="0"/>
              </w:rPr>
              <w:t>1.</w:t>
            </w:r>
            <w:r>
              <w:rPr>
                <w:rFonts w:ascii="Times New Roman" w:eastAsia="Times New Roman" w:hAnsi="Times New Roman" w:cs="Times New Roman"/>
                <w:bCs w:val="0"/>
              </w:rPr>
              <w:tab/>
            </w:r>
            <w:r>
              <w:rPr>
                <w:rStyle w:val="aff"/>
                <w:rFonts w:ascii="Times New Roman" w:eastAsia="Times New Roman" w:hAnsi="Times New Roman" w:cs="Times New Roman"/>
                <w:bCs w:val="0"/>
              </w:rPr>
              <w:t>Общие положения</w:t>
            </w:r>
            <w:r>
              <w:rPr>
                <w:rFonts w:ascii="Times New Roman" w:eastAsia="Times New Roman" w:hAnsi="Times New Roman" w:cs="Times New Roman"/>
                <w:bCs w:val="0"/>
              </w:rPr>
              <w:tab/>
            </w:r>
            <w:r>
              <w:rPr>
                <w:rFonts w:ascii="Times New Roman" w:eastAsia="Times New Roman" w:hAnsi="Times New Roman" w:cs="Times New Roman"/>
                <w:bCs w:val="0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Cs w:val="0"/>
              </w:rPr>
              <w:instrText>PAGEREF _Toc1 \h</w:instrText>
            </w:r>
            <w:r>
              <w:rPr>
                <w:rFonts w:ascii="Times New Roman" w:eastAsia="Times New Roman" w:hAnsi="Times New Roman" w:cs="Times New Roman"/>
                <w:bCs w:val="0"/>
              </w:rPr>
            </w:r>
            <w:r>
              <w:rPr>
                <w:rFonts w:ascii="Times New Roman" w:eastAsia="Times New Roman" w:hAnsi="Times New Roman" w:cs="Times New Roman"/>
                <w:bCs w:val="0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Cs w:val="0"/>
              </w:rPr>
              <w:t>3</w:t>
            </w:r>
            <w:r>
              <w:rPr>
                <w:rFonts w:ascii="Times New Roman" w:eastAsia="Times New Roman" w:hAnsi="Times New Roman" w:cs="Times New Roman"/>
                <w:bCs w:val="0"/>
              </w:rPr>
              <w:fldChar w:fldCharType="end"/>
            </w:r>
          </w:hyperlink>
        </w:p>
        <w:p w:rsidR="002049E4" w:rsidRDefault="00AF13FE">
          <w:pPr>
            <w:pStyle w:val="24"/>
            <w:tabs>
              <w:tab w:val="clear" w:pos="9627"/>
              <w:tab w:val="left" w:pos="1134"/>
              <w:tab w:val="right" w:leader="dot" w:pos="9637"/>
            </w:tabs>
            <w:rPr>
              <w:rFonts w:ascii="Times New Roman" w:hAnsi="Times New Roman" w:cs="Times New Roman"/>
            </w:rPr>
          </w:pPr>
          <w:hyperlink w:anchor="_Toc2" w:tooltip="#_Toc2" w:history="1">
            <w:r w:rsidR="00F35076">
              <w:rPr>
                <w:rFonts w:ascii="Times New Roman" w:eastAsiaTheme="majorEastAsia" w:hAnsi="Times New Roman" w:cs="Times New Roman"/>
              </w:rPr>
              <w:t>1.1.</w:t>
            </w:r>
            <w:r w:rsidR="00F35076">
              <w:rPr>
                <w:rFonts w:ascii="Times New Roman" w:eastAsia="Times New Roman" w:hAnsi="Times New Roman" w:cs="Times New Roman"/>
              </w:rPr>
              <w:tab/>
            </w:r>
            <w:r w:rsidR="00F35076">
              <w:rPr>
                <w:rStyle w:val="aff"/>
                <w:rFonts w:ascii="Times New Roman" w:eastAsia="Times New Roman" w:hAnsi="Times New Roman" w:cs="Times New Roman"/>
              </w:rPr>
              <w:t>Используемые сокращения</w:t>
            </w:r>
            <w:r w:rsidR="00F35076">
              <w:rPr>
                <w:rFonts w:ascii="Times New Roman" w:eastAsia="Times New Roman" w:hAnsi="Times New Roman" w:cs="Times New Roman"/>
              </w:rPr>
              <w:tab/>
            </w:r>
            <w:r w:rsidR="00F35076">
              <w:rPr>
                <w:rFonts w:ascii="Times New Roman" w:eastAsia="Times New Roman" w:hAnsi="Times New Roman" w:cs="Times New Roman"/>
              </w:rPr>
              <w:fldChar w:fldCharType="begin"/>
            </w:r>
            <w:r w:rsidR="00F35076">
              <w:rPr>
                <w:rFonts w:ascii="Times New Roman" w:eastAsia="Times New Roman" w:hAnsi="Times New Roman" w:cs="Times New Roman"/>
              </w:rPr>
              <w:instrText>PAGEREF _Toc2 \h</w:instrText>
            </w:r>
            <w:r w:rsidR="00F35076">
              <w:rPr>
                <w:rFonts w:ascii="Times New Roman" w:eastAsia="Times New Roman" w:hAnsi="Times New Roman" w:cs="Times New Roman"/>
              </w:rPr>
            </w:r>
            <w:r w:rsidR="00F35076">
              <w:rPr>
                <w:rFonts w:ascii="Times New Roman" w:eastAsia="Times New Roman" w:hAnsi="Times New Roman" w:cs="Times New Roman"/>
              </w:rPr>
              <w:fldChar w:fldCharType="separate"/>
            </w:r>
            <w:r w:rsidR="00F35076">
              <w:rPr>
                <w:rFonts w:ascii="Times New Roman" w:eastAsia="Times New Roman" w:hAnsi="Times New Roman" w:cs="Times New Roman"/>
              </w:rPr>
              <w:t>3</w:t>
            </w:r>
            <w:r w:rsidR="00F35076">
              <w:rPr>
                <w:rFonts w:ascii="Times New Roman" w:eastAsia="Times New Roman" w:hAnsi="Times New Roman" w:cs="Times New Roman"/>
              </w:rPr>
              <w:fldChar w:fldCharType="end"/>
            </w:r>
          </w:hyperlink>
        </w:p>
        <w:p w:rsidR="002049E4" w:rsidRDefault="00AF13FE">
          <w:pPr>
            <w:pStyle w:val="24"/>
            <w:tabs>
              <w:tab w:val="clear" w:pos="9627"/>
              <w:tab w:val="left" w:pos="1134"/>
              <w:tab w:val="right" w:leader="dot" w:pos="9637"/>
            </w:tabs>
            <w:rPr>
              <w:rFonts w:ascii="Times New Roman" w:hAnsi="Times New Roman" w:cs="Times New Roman"/>
            </w:rPr>
          </w:pPr>
          <w:hyperlink w:anchor="_Toc3" w:tooltip="#_Toc3" w:history="1">
            <w:r w:rsidR="00F35076">
              <w:rPr>
                <w:rFonts w:ascii="Times New Roman" w:eastAsiaTheme="majorEastAsia" w:hAnsi="Times New Roman" w:cs="Times New Roman"/>
              </w:rPr>
              <w:t>1.2.</w:t>
            </w:r>
            <w:r w:rsidR="00F35076">
              <w:rPr>
                <w:rFonts w:ascii="Times New Roman" w:eastAsia="Times New Roman" w:hAnsi="Times New Roman" w:cs="Times New Roman"/>
              </w:rPr>
              <w:tab/>
            </w:r>
            <w:r w:rsidR="00F35076">
              <w:rPr>
                <w:rStyle w:val="aff"/>
                <w:rFonts w:ascii="Times New Roman" w:eastAsia="Times New Roman" w:hAnsi="Times New Roman" w:cs="Times New Roman"/>
              </w:rPr>
              <w:t>Термины и определения</w:t>
            </w:r>
            <w:r w:rsidR="00F35076">
              <w:rPr>
                <w:rFonts w:ascii="Times New Roman" w:eastAsia="Times New Roman" w:hAnsi="Times New Roman" w:cs="Times New Roman"/>
              </w:rPr>
              <w:tab/>
            </w:r>
            <w:r w:rsidR="00F35076">
              <w:rPr>
                <w:rFonts w:ascii="Times New Roman" w:eastAsia="Times New Roman" w:hAnsi="Times New Roman" w:cs="Times New Roman"/>
              </w:rPr>
              <w:fldChar w:fldCharType="begin"/>
            </w:r>
            <w:r w:rsidR="00F35076">
              <w:rPr>
                <w:rFonts w:ascii="Times New Roman" w:eastAsia="Times New Roman" w:hAnsi="Times New Roman" w:cs="Times New Roman"/>
              </w:rPr>
              <w:instrText>PAGEREF _Toc3 \h</w:instrText>
            </w:r>
            <w:r w:rsidR="00F35076">
              <w:rPr>
                <w:rFonts w:ascii="Times New Roman" w:eastAsia="Times New Roman" w:hAnsi="Times New Roman" w:cs="Times New Roman"/>
              </w:rPr>
            </w:r>
            <w:r w:rsidR="00F35076">
              <w:rPr>
                <w:rFonts w:ascii="Times New Roman" w:eastAsia="Times New Roman" w:hAnsi="Times New Roman" w:cs="Times New Roman"/>
              </w:rPr>
              <w:fldChar w:fldCharType="separate"/>
            </w:r>
            <w:r w:rsidR="00F35076">
              <w:rPr>
                <w:rFonts w:ascii="Times New Roman" w:eastAsia="Times New Roman" w:hAnsi="Times New Roman" w:cs="Times New Roman"/>
              </w:rPr>
              <w:t>3</w:t>
            </w:r>
            <w:r w:rsidR="00F35076">
              <w:rPr>
                <w:rFonts w:ascii="Times New Roman" w:eastAsia="Times New Roman" w:hAnsi="Times New Roman" w:cs="Times New Roman"/>
              </w:rPr>
              <w:fldChar w:fldCharType="end"/>
            </w:r>
          </w:hyperlink>
        </w:p>
        <w:p w:rsidR="002049E4" w:rsidRDefault="00AF13FE">
          <w:pPr>
            <w:pStyle w:val="24"/>
            <w:tabs>
              <w:tab w:val="clear" w:pos="9627"/>
              <w:tab w:val="left" w:pos="1134"/>
              <w:tab w:val="right" w:leader="dot" w:pos="9637"/>
            </w:tabs>
            <w:rPr>
              <w:rFonts w:ascii="Times New Roman" w:hAnsi="Times New Roman" w:cs="Times New Roman"/>
            </w:rPr>
          </w:pPr>
          <w:hyperlink w:anchor="_Toc4" w:tooltip="#_Toc4" w:history="1">
            <w:r w:rsidR="00F35076">
              <w:rPr>
                <w:rFonts w:ascii="Times New Roman" w:eastAsiaTheme="majorEastAsia" w:hAnsi="Times New Roman" w:cs="Times New Roman"/>
              </w:rPr>
              <w:t>1.3.</w:t>
            </w:r>
            <w:r w:rsidR="00F35076">
              <w:rPr>
                <w:rFonts w:ascii="Times New Roman" w:eastAsia="Times New Roman" w:hAnsi="Times New Roman" w:cs="Times New Roman"/>
              </w:rPr>
              <w:tab/>
            </w:r>
            <w:r w:rsidR="00F35076">
              <w:rPr>
                <w:rStyle w:val="aff"/>
                <w:rFonts w:ascii="Times New Roman" w:eastAsia="Times New Roman" w:hAnsi="Times New Roman" w:cs="Times New Roman"/>
              </w:rPr>
              <w:t>Цель и задачи Положения</w:t>
            </w:r>
            <w:r w:rsidR="00F35076">
              <w:rPr>
                <w:rFonts w:ascii="Times New Roman" w:eastAsia="Times New Roman" w:hAnsi="Times New Roman" w:cs="Times New Roman"/>
              </w:rPr>
              <w:tab/>
            </w:r>
            <w:r w:rsidR="00F35076">
              <w:rPr>
                <w:rFonts w:ascii="Times New Roman" w:eastAsia="Times New Roman" w:hAnsi="Times New Roman" w:cs="Times New Roman"/>
              </w:rPr>
              <w:fldChar w:fldCharType="begin"/>
            </w:r>
            <w:r w:rsidR="00F35076">
              <w:rPr>
                <w:rFonts w:ascii="Times New Roman" w:eastAsia="Times New Roman" w:hAnsi="Times New Roman" w:cs="Times New Roman"/>
              </w:rPr>
              <w:instrText>PAGEREF _Toc4 \h</w:instrText>
            </w:r>
            <w:r w:rsidR="00F35076">
              <w:rPr>
                <w:rFonts w:ascii="Times New Roman" w:eastAsia="Times New Roman" w:hAnsi="Times New Roman" w:cs="Times New Roman"/>
              </w:rPr>
            </w:r>
            <w:r w:rsidR="00F35076">
              <w:rPr>
                <w:rFonts w:ascii="Times New Roman" w:eastAsia="Times New Roman" w:hAnsi="Times New Roman" w:cs="Times New Roman"/>
              </w:rPr>
              <w:fldChar w:fldCharType="separate"/>
            </w:r>
            <w:r w:rsidR="00F35076">
              <w:rPr>
                <w:rFonts w:ascii="Times New Roman" w:eastAsia="Times New Roman" w:hAnsi="Times New Roman" w:cs="Times New Roman"/>
              </w:rPr>
              <w:t>8</w:t>
            </w:r>
            <w:r w:rsidR="00F35076">
              <w:rPr>
                <w:rFonts w:ascii="Times New Roman" w:eastAsia="Times New Roman" w:hAnsi="Times New Roman" w:cs="Times New Roman"/>
              </w:rPr>
              <w:fldChar w:fldCharType="end"/>
            </w:r>
          </w:hyperlink>
        </w:p>
        <w:p w:rsidR="002049E4" w:rsidRDefault="00AF13FE">
          <w:pPr>
            <w:pStyle w:val="24"/>
            <w:tabs>
              <w:tab w:val="clear" w:pos="9627"/>
              <w:tab w:val="left" w:pos="1134"/>
              <w:tab w:val="right" w:leader="dot" w:pos="9637"/>
            </w:tabs>
            <w:rPr>
              <w:rFonts w:ascii="Times New Roman" w:hAnsi="Times New Roman" w:cs="Times New Roman"/>
            </w:rPr>
          </w:pPr>
          <w:hyperlink w:anchor="_Toc5" w:tooltip="#_Toc5" w:history="1">
            <w:r w:rsidR="00F35076">
              <w:rPr>
                <w:rFonts w:ascii="Times New Roman" w:eastAsiaTheme="majorEastAsia" w:hAnsi="Times New Roman" w:cs="Times New Roman"/>
              </w:rPr>
              <w:t>1.4.</w:t>
            </w:r>
            <w:r w:rsidR="00F35076">
              <w:rPr>
                <w:rFonts w:ascii="Times New Roman" w:eastAsia="Times New Roman" w:hAnsi="Times New Roman" w:cs="Times New Roman"/>
              </w:rPr>
              <w:tab/>
            </w:r>
            <w:r w:rsidR="00F35076">
              <w:rPr>
                <w:rStyle w:val="aff"/>
                <w:rFonts w:ascii="Times New Roman" w:eastAsia="Times New Roman" w:hAnsi="Times New Roman" w:cs="Times New Roman"/>
              </w:rPr>
              <w:t>Нормативные документы</w:t>
            </w:r>
            <w:r w:rsidR="00F35076">
              <w:rPr>
                <w:rFonts w:ascii="Times New Roman" w:eastAsia="Times New Roman" w:hAnsi="Times New Roman" w:cs="Times New Roman"/>
              </w:rPr>
              <w:tab/>
            </w:r>
            <w:r w:rsidR="00F35076">
              <w:rPr>
                <w:rFonts w:ascii="Times New Roman" w:eastAsia="Times New Roman" w:hAnsi="Times New Roman" w:cs="Times New Roman"/>
              </w:rPr>
              <w:fldChar w:fldCharType="begin"/>
            </w:r>
            <w:r w:rsidR="00F35076">
              <w:rPr>
                <w:rFonts w:ascii="Times New Roman" w:eastAsia="Times New Roman" w:hAnsi="Times New Roman" w:cs="Times New Roman"/>
              </w:rPr>
              <w:instrText>PAGEREF _Toc5 \h</w:instrText>
            </w:r>
            <w:r w:rsidR="00F35076">
              <w:rPr>
                <w:rFonts w:ascii="Times New Roman" w:eastAsia="Times New Roman" w:hAnsi="Times New Roman" w:cs="Times New Roman"/>
              </w:rPr>
            </w:r>
            <w:r w:rsidR="00F35076">
              <w:rPr>
                <w:rFonts w:ascii="Times New Roman" w:eastAsia="Times New Roman" w:hAnsi="Times New Roman" w:cs="Times New Roman"/>
              </w:rPr>
              <w:fldChar w:fldCharType="separate"/>
            </w:r>
            <w:r w:rsidR="00F35076">
              <w:rPr>
                <w:rFonts w:ascii="Times New Roman" w:eastAsia="Times New Roman" w:hAnsi="Times New Roman" w:cs="Times New Roman"/>
              </w:rPr>
              <w:t>8</w:t>
            </w:r>
            <w:r w:rsidR="00F35076">
              <w:rPr>
                <w:rFonts w:ascii="Times New Roman" w:eastAsia="Times New Roman" w:hAnsi="Times New Roman" w:cs="Times New Roman"/>
              </w:rPr>
              <w:fldChar w:fldCharType="end"/>
            </w:r>
          </w:hyperlink>
        </w:p>
        <w:p w:rsidR="002049E4" w:rsidRDefault="00AF13FE">
          <w:pPr>
            <w:pStyle w:val="24"/>
            <w:tabs>
              <w:tab w:val="clear" w:pos="9627"/>
              <w:tab w:val="left" w:pos="1134"/>
              <w:tab w:val="right" w:leader="dot" w:pos="9637"/>
            </w:tabs>
            <w:rPr>
              <w:rFonts w:ascii="Times New Roman" w:hAnsi="Times New Roman" w:cs="Times New Roman"/>
            </w:rPr>
          </w:pPr>
          <w:hyperlink w:anchor="_Toc6" w:tooltip="#_Toc6" w:history="1">
            <w:r w:rsidR="00F35076">
              <w:rPr>
                <w:rFonts w:ascii="Times New Roman" w:eastAsiaTheme="majorEastAsia" w:hAnsi="Times New Roman" w:cs="Times New Roman"/>
              </w:rPr>
              <w:t>1.5.</w:t>
            </w:r>
            <w:r w:rsidR="00F35076">
              <w:rPr>
                <w:rFonts w:ascii="Times New Roman" w:eastAsia="Times New Roman" w:hAnsi="Times New Roman" w:cs="Times New Roman"/>
              </w:rPr>
              <w:tab/>
            </w:r>
            <w:r w:rsidR="00F35076">
              <w:rPr>
                <w:rStyle w:val="aff"/>
                <w:rFonts w:ascii="Times New Roman" w:eastAsia="Times New Roman" w:hAnsi="Times New Roman" w:cs="Times New Roman"/>
              </w:rPr>
              <w:t>Порядок изменения Положения</w:t>
            </w:r>
            <w:r w:rsidR="00F35076">
              <w:rPr>
                <w:rFonts w:ascii="Times New Roman" w:eastAsia="Times New Roman" w:hAnsi="Times New Roman" w:cs="Times New Roman"/>
              </w:rPr>
              <w:tab/>
            </w:r>
            <w:r w:rsidR="00F35076">
              <w:rPr>
                <w:rFonts w:ascii="Times New Roman" w:eastAsia="Times New Roman" w:hAnsi="Times New Roman" w:cs="Times New Roman"/>
              </w:rPr>
              <w:fldChar w:fldCharType="begin"/>
            </w:r>
            <w:r w:rsidR="00F35076">
              <w:rPr>
                <w:rFonts w:ascii="Times New Roman" w:eastAsia="Times New Roman" w:hAnsi="Times New Roman" w:cs="Times New Roman"/>
              </w:rPr>
              <w:instrText>PAGEREF _Toc6 \h</w:instrText>
            </w:r>
            <w:r w:rsidR="00F35076">
              <w:rPr>
                <w:rFonts w:ascii="Times New Roman" w:eastAsia="Times New Roman" w:hAnsi="Times New Roman" w:cs="Times New Roman"/>
              </w:rPr>
            </w:r>
            <w:r w:rsidR="00F35076">
              <w:rPr>
                <w:rFonts w:ascii="Times New Roman" w:eastAsia="Times New Roman" w:hAnsi="Times New Roman" w:cs="Times New Roman"/>
              </w:rPr>
              <w:fldChar w:fldCharType="separate"/>
            </w:r>
            <w:r w:rsidR="00F35076">
              <w:rPr>
                <w:rFonts w:ascii="Times New Roman" w:eastAsia="Times New Roman" w:hAnsi="Times New Roman" w:cs="Times New Roman"/>
              </w:rPr>
              <w:t>9</w:t>
            </w:r>
            <w:r w:rsidR="00F35076">
              <w:rPr>
                <w:rFonts w:ascii="Times New Roman" w:eastAsia="Times New Roman" w:hAnsi="Times New Roman" w:cs="Times New Roman"/>
              </w:rPr>
              <w:fldChar w:fldCharType="end"/>
            </w:r>
          </w:hyperlink>
        </w:p>
        <w:p w:rsidR="002049E4" w:rsidRDefault="00AF13FE">
          <w:pPr>
            <w:pStyle w:val="12"/>
            <w:tabs>
              <w:tab w:val="clear" w:pos="9627"/>
              <w:tab w:val="left" w:pos="1134"/>
              <w:tab w:val="right" w:leader="dot" w:pos="9637"/>
            </w:tabs>
            <w:rPr>
              <w:rFonts w:ascii="Times New Roman" w:hAnsi="Times New Roman" w:cs="Times New Roman"/>
              <w:bCs w:val="0"/>
            </w:rPr>
          </w:pPr>
          <w:hyperlink w:anchor="_Toc7" w:tooltip="#_Toc7" w:history="1">
            <w:r w:rsidR="00F35076">
              <w:rPr>
                <w:rFonts w:ascii="Times New Roman" w:eastAsiaTheme="majorEastAsia" w:hAnsi="Times New Roman" w:cs="Times New Roman"/>
                <w:bCs w:val="0"/>
              </w:rPr>
              <w:t>2.</w:t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  <w:tab/>
            </w:r>
            <w:r w:rsidR="00F35076">
              <w:rPr>
                <w:rStyle w:val="aff"/>
                <w:rFonts w:ascii="Times New Roman" w:eastAsia="Times New Roman" w:hAnsi="Times New Roman" w:cs="Times New Roman"/>
                <w:bCs w:val="0"/>
              </w:rPr>
              <w:t>Процесс управления риском ликвидности</w:t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  <w:tab/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  <w:fldChar w:fldCharType="begin"/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  <w:instrText>PAGEREF _Toc7 \h</w:instrText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  <w:fldChar w:fldCharType="separate"/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  <w:t>9</w:t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  <w:fldChar w:fldCharType="end"/>
            </w:r>
          </w:hyperlink>
        </w:p>
        <w:p w:rsidR="002049E4" w:rsidRDefault="00AF13FE">
          <w:pPr>
            <w:pStyle w:val="24"/>
            <w:tabs>
              <w:tab w:val="clear" w:pos="9627"/>
              <w:tab w:val="left" w:pos="1134"/>
              <w:tab w:val="right" w:leader="dot" w:pos="9637"/>
            </w:tabs>
            <w:rPr>
              <w:rFonts w:ascii="Times New Roman" w:hAnsi="Times New Roman" w:cs="Times New Roman"/>
            </w:rPr>
          </w:pPr>
          <w:hyperlink w:anchor="_Toc8" w:tooltip="#_Toc8" w:history="1">
            <w:r w:rsidR="00F35076">
              <w:rPr>
                <w:rFonts w:ascii="Times New Roman" w:eastAsiaTheme="majorEastAsia" w:hAnsi="Times New Roman" w:cs="Times New Roman"/>
              </w:rPr>
              <w:t>2.1.</w:t>
            </w:r>
            <w:r w:rsidR="00F35076">
              <w:rPr>
                <w:rFonts w:ascii="Times New Roman" w:eastAsia="Times New Roman" w:hAnsi="Times New Roman" w:cs="Times New Roman"/>
              </w:rPr>
              <w:tab/>
            </w:r>
            <w:r w:rsidR="00F35076">
              <w:rPr>
                <w:rStyle w:val="aff"/>
                <w:rFonts w:ascii="Times New Roman" w:eastAsia="Times New Roman" w:hAnsi="Times New Roman" w:cs="Times New Roman"/>
              </w:rPr>
              <w:t>Цели и задачи управления риском ликвидности</w:t>
            </w:r>
            <w:r w:rsidR="00F35076">
              <w:rPr>
                <w:rFonts w:ascii="Times New Roman" w:eastAsia="Times New Roman" w:hAnsi="Times New Roman" w:cs="Times New Roman"/>
              </w:rPr>
              <w:tab/>
            </w:r>
            <w:r w:rsidR="00F35076">
              <w:rPr>
                <w:rFonts w:ascii="Times New Roman" w:eastAsia="Times New Roman" w:hAnsi="Times New Roman" w:cs="Times New Roman"/>
              </w:rPr>
              <w:fldChar w:fldCharType="begin"/>
            </w:r>
            <w:r w:rsidR="00F35076">
              <w:rPr>
                <w:rFonts w:ascii="Times New Roman" w:eastAsia="Times New Roman" w:hAnsi="Times New Roman" w:cs="Times New Roman"/>
              </w:rPr>
              <w:instrText>PAGEREF _Toc8 \h</w:instrText>
            </w:r>
            <w:r w:rsidR="00F35076">
              <w:rPr>
                <w:rFonts w:ascii="Times New Roman" w:eastAsia="Times New Roman" w:hAnsi="Times New Roman" w:cs="Times New Roman"/>
              </w:rPr>
            </w:r>
            <w:r w:rsidR="00F35076">
              <w:rPr>
                <w:rFonts w:ascii="Times New Roman" w:eastAsia="Times New Roman" w:hAnsi="Times New Roman" w:cs="Times New Roman"/>
              </w:rPr>
              <w:fldChar w:fldCharType="separate"/>
            </w:r>
            <w:r w:rsidR="00F35076">
              <w:rPr>
                <w:rFonts w:ascii="Times New Roman" w:eastAsia="Times New Roman" w:hAnsi="Times New Roman" w:cs="Times New Roman"/>
              </w:rPr>
              <w:t>9</w:t>
            </w:r>
            <w:r w:rsidR="00F35076">
              <w:rPr>
                <w:rFonts w:ascii="Times New Roman" w:eastAsia="Times New Roman" w:hAnsi="Times New Roman" w:cs="Times New Roman"/>
              </w:rPr>
              <w:fldChar w:fldCharType="end"/>
            </w:r>
          </w:hyperlink>
        </w:p>
        <w:p w:rsidR="002049E4" w:rsidRDefault="00AF13FE">
          <w:pPr>
            <w:pStyle w:val="24"/>
            <w:tabs>
              <w:tab w:val="clear" w:pos="9627"/>
              <w:tab w:val="left" w:pos="1134"/>
              <w:tab w:val="right" w:leader="dot" w:pos="9637"/>
            </w:tabs>
            <w:rPr>
              <w:rFonts w:ascii="Times New Roman" w:hAnsi="Times New Roman" w:cs="Times New Roman"/>
            </w:rPr>
          </w:pPr>
          <w:hyperlink w:anchor="_Toc9" w:tooltip="#_Toc9" w:history="1">
            <w:r w:rsidR="00F35076">
              <w:rPr>
                <w:rFonts w:ascii="Times New Roman" w:eastAsiaTheme="majorEastAsia" w:hAnsi="Times New Roman" w:cs="Times New Roman"/>
              </w:rPr>
              <w:t>2.2.</w:t>
            </w:r>
            <w:r w:rsidR="00F35076">
              <w:rPr>
                <w:rFonts w:ascii="Times New Roman" w:eastAsia="Times New Roman" w:hAnsi="Times New Roman" w:cs="Times New Roman"/>
              </w:rPr>
              <w:tab/>
            </w:r>
            <w:r w:rsidR="00F35076">
              <w:rPr>
                <w:rStyle w:val="aff"/>
                <w:rFonts w:ascii="Times New Roman" w:eastAsia="Times New Roman" w:hAnsi="Times New Roman" w:cs="Times New Roman"/>
                <w:lang w:eastAsia="de-DE"/>
              </w:rPr>
              <w:t>Принципы управления риском ликвидности</w:t>
            </w:r>
            <w:r w:rsidR="00F35076">
              <w:rPr>
                <w:rFonts w:ascii="Times New Roman" w:eastAsia="Times New Roman" w:hAnsi="Times New Roman" w:cs="Times New Roman"/>
              </w:rPr>
              <w:tab/>
            </w:r>
            <w:r w:rsidR="00F35076">
              <w:rPr>
                <w:rFonts w:ascii="Times New Roman" w:eastAsia="Times New Roman" w:hAnsi="Times New Roman" w:cs="Times New Roman"/>
              </w:rPr>
              <w:fldChar w:fldCharType="begin"/>
            </w:r>
            <w:r w:rsidR="00F35076">
              <w:rPr>
                <w:rFonts w:ascii="Times New Roman" w:eastAsia="Times New Roman" w:hAnsi="Times New Roman" w:cs="Times New Roman"/>
              </w:rPr>
              <w:instrText>PAGEREF _Toc9 \h</w:instrText>
            </w:r>
            <w:r w:rsidR="00F35076">
              <w:rPr>
                <w:rFonts w:ascii="Times New Roman" w:eastAsia="Times New Roman" w:hAnsi="Times New Roman" w:cs="Times New Roman"/>
              </w:rPr>
            </w:r>
            <w:r w:rsidR="00F35076">
              <w:rPr>
                <w:rFonts w:ascii="Times New Roman" w:eastAsia="Times New Roman" w:hAnsi="Times New Roman" w:cs="Times New Roman"/>
              </w:rPr>
              <w:fldChar w:fldCharType="separate"/>
            </w:r>
            <w:r w:rsidR="00F35076">
              <w:rPr>
                <w:rFonts w:ascii="Times New Roman" w:eastAsia="Times New Roman" w:hAnsi="Times New Roman" w:cs="Times New Roman"/>
              </w:rPr>
              <w:t>10</w:t>
            </w:r>
            <w:r w:rsidR="00F35076">
              <w:rPr>
                <w:rFonts w:ascii="Times New Roman" w:eastAsia="Times New Roman" w:hAnsi="Times New Roman" w:cs="Times New Roman"/>
              </w:rPr>
              <w:fldChar w:fldCharType="end"/>
            </w:r>
          </w:hyperlink>
        </w:p>
        <w:p w:rsidR="002049E4" w:rsidRDefault="00AF13FE">
          <w:pPr>
            <w:pStyle w:val="12"/>
            <w:tabs>
              <w:tab w:val="clear" w:pos="9627"/>
              <w:tab w:val="left" w:pos="517"/>
              <w:tab w:val="right" w:leader="dot" w:pos="9637"/>
            </w:tabs>
            <w:rPr>
              <w:rFonts w:ascii="Times New Roman" w:hAnsi="Times New Roman" w:cs="Times New Roman"/>
              <w:bCs w:val="0"/>
            </w:rPr>
          </w:pPr>
          <w:hyperlink w:anchor="_Toc10" w:tooltip="#_Toc10" w:history="1">
            <w:r w:rsidR="00F35076">
              <w:rPr>
                <w:rStyle w:val="aff"/>
                <w:rFonts w:ascii="Times New Roman" w:eastAsiaTheme="majorEastAsia" w:hAnsi="Times New Roman" w:cs="Times New Roman"/>
                <w:bCs w:val="0"/>
              </w:rPr>
              <w:t>2.3.</w:t>
            </w:r>
            <w:r w:rsidR="00F35076">
              <w:rPr>
                <w:rStyle w:val="aff"/>
                <w:rFonts w:ascii="Times New Roman" w:eastAsiaTheme="majorEastAsia" w:hAnsi="Times New Roman" w:cs="Times New Roman"/>
                <w:bCs w:val="0"/>
              </w:rPr>
              <w:tab/>
              <w:t>Участники управления риском ликвидности. Распределение полномочий</w:t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  <w:tab/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  <w:fldChar w:fldCharType="begin"/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  <w:instrText>PAGEREF _Toc10 \h</w:instrText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  <w:fldChar w:fldCharType="separate"/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  <w:t>11</w:t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  <w:fldChar w:fldCharType="end"/>
            </w:r>
          </w:hyperlink>
        </w:p>
        <w:p w:rsidR="002049E4" w:rsidRDefault="00AF13FE">
          <w:pPr>
            <w:pStyle w:val="12"/>
            <w:tabs>
              <w:tab w:val="clear" w:pos="9627"/>
              <w:tab w:val="left" w:pos="1134"/>
              <w:tab w:val="right" w:leader="dot" w:pos="9637"/>
            </w:tabs>
            <w:rPr>
              <w:rFonts w:ascii="Times New Roman" w:hAnsi="Times New Roman" w:cs="Times New Roman"/>
              <w:bCs w:val="0"/>
            </w:rPr>
          </w:pPr>
          <w:hyperlink w:anchor="_Toc11" w:tooltip="#_Toc11" w:history="1">
            <w:r w:rsidR="00F35076">
              <w:rPr>
                <w:rFonts w:ascii="Times New Roman" w:eastAsiaTheme="majorEastAsia" w:hAnsi="Times New Roman" w:cs="Times New Roman"/>
                <w:bCs w:val="0"/>
              </w:rPr>
              <w:t>3.</w:t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  <w:tab/>
            </w:r>
            <w:r w:rsidR="00F35076">
              <w:rPr>
                <w:rStyle w:val="aff"/>
                <w:rFonts w:ascii="Times New Roman" w:eastAsia="Times New Roman" w:hAnsi="Times New Roman" w:cs="Times New Roman"/>
                <w:bCs w:val="0"/>
              </w:rPr>
              <w:t>Компоненты управления риском ликвидности</w:t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  <w:tab/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  <w:fldChar w:fldCharType="begin"/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  <w:instrText>PAGEREF _Toc11 \h</w:instrText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  <w:fldChar w:fldCharType="separate"/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  <w:t>13</w:t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  <w:fldChar w:fldCharType="end"/>
            </w:r>
          </w:hyperlink>
        </w:p>
        <w:p w:rsidR="002049E4" w:rsidRDefault="00AF13FE">
          <w:pPr>
            <w:pStyle w:val="24"/>
            <w:tabs>
              <w:tab w:val="clear" w:pos="9627"/>
              <w:tab w:val="left" w:pos="1134"/>
              <w:tab w:val="right" w:leader="dot" w:pos="9637"/>
            </w:tabs>
            <w:rPr>
              <w:rFonts w:ascii="Times New Roman" w:hAnsi="Times New Roman" w:cs="Times New Roman"/>
            </w:rPr>
          </w:pPr>
          <w:hyperlink w:anchor="_Toc12" w:tooltip="#_Toc12" w:history="1">
            <w:r w:rsidR="00F35076">
              <w:rPr>
                <w:rFonts w:ascii="Times New Roman" w:eastAsiaTheme="majorEastAsia" w:hAnsi="Times New Roman" w:cs="Times New Roman"/>
              </w:rPr>
              <w:t>3.1.</w:t>
            </w:r>
            <w:r w:rsidR="00F35076">
              <w:rPr>
                <w:rFonts w:ascii="Times New Roman" w:eastAsia="Times New Roman" w:hAnsi="Times New Roman" w:cs="Times New Roman"/>
              </w:rPr>
              <w:tab/>
            </w:r>
            <w:r w:rsidR="00F35076">
              <w:rPr>
                <w:rStyle w:val="aff"/>
                <w:rFonts w:ascii="Times New Roman" w:eastAsia="Times New Roman" w:hAnsi="Times New Roman" w:cs="Times New Roman"/>
              </w:rPr>
              <w:t>Идентификация риска ликвидности</w:t>
            </w:r>
            <w:r w:rsidR="00F35076">
              <w:rPr>
                <w:rFonts w:ascii="Times New Roman" w:eastAsia="Times New Roman" w:hAnsi="Times New Roman" w:cs="Times New Roman"/>
              </w:rPr>
              <w:tab/>
            </w:r>
            <w:r w:rsidR="00F35076">
              <w:rPr>
                <w:rFonts w:ascii="Times New Roman" w:eastAsia="Times New Roman" w:hAnsi="Times New Roman" w:cs="Times New Roman"/>
              </w:rPr>
              <w:fldChar w:fldCharType="begin"/>
            </w:r>
            <w:r w:rsidR="00F35076">
              <w:rPr>
                <w:rFonts w:ascii="Times New Roman" w:eastAsia="Times New Roman" w:hAnsi="Times New Roman" w:cs="Times New Roman"/>
              </w:rPr>
              <w:instrText>PAGEREF _Toc12 \h</w:instrText>
            </w:r>
            <w:r w:rsidR="00F35076">
              <w:rPr>
                <w:rFonts w:ascii="Times New Roman" w:eastAsia="Times New Roman" w:hAnsi="Times New Roman" w:cs="Times New Roman"/>
              </w:rPr>
            </w:r>
            <w:r w:rsidR="00F35076">
              <w:rPr>
                <w:rFonts w:ascii="Times New Roman" w:eastAsia="Times New Roman" w:hAnsi="Times New Roman" w:cs="Times New Roman"/>
              </w:rPr>
              <w:fldChar w:fldCharType="separate"/>
            </w:r>
            <w:r w:rsidR="00F35076">
              <w:rPr>
                <w:rFonts w:ascii="Times New Roman" w:eastAsia="Times New Roman" w:hAnsi="Times New Roman" w:cs="Times New Roman"/>
              </w:rPr>
              <w:t>13</w:t>
            </w:r>
            <w:r w:rsidR="00F35076">
              <w:rPr>
                <w:rFonts w:ascii="Times New Roman" w:eastAsia="Times New Roman" w:hAnsi="Times New Roman" w:cs="Times New Roman"/>
              </w:rPr>
              <w:fldChar w:fldCharType="end"/>
            </w:r>
          </w:hyperlink>
        </w:p>
        <w:p w:rsidR="002049E4" w:rsidRDefault="00AF13FE">
          <w:pPr>
            <w:pStyle w:val="24"/>
            <w:tabs>
              <w:tab w:val="clear" w:pos="9627"/>
              <w:tab w:val="left" w:pos="1134"/>
              <w:tab w:val="right" w:leader="dot" w:pos="9637"/>
            </w:tabs>
            <w:rPr>
              <w:rFonts w:ascii="Times New Roman" w:hAnsi="Times New Roman" w:cs="Times New Roman"/>
            </w:rPr>
          </w:pPr>
          <w:hyperlink w:anchor="_Toc13" w:tooltip="#_Toc13" w:history="1">
            <w:r w:rsidR="00F35076">
              <w:rPr>
                <w:rFonts w:ascii="Times New Roman" w:eastAsiaTheme="majorEastAsia" w:hAnsi="Times New Roman" w:cs="Times New Roman"/>
              </w:rPr>
              <w:t>3.2.</w:t>
            </w:r>
            <w:r w:rsidR="00F35076">
              <w:rPr>
                <w:rFonts w:ascii="Times New Roman" w:eastAsia="Times New Roman" w:hAnsi="Times New Roman" w:cs="Times New Roman"/>
              </w:rPr>
              <w:tab/>
            </w:r>
            <w:r w:rsidR="00F35076">
              <w:rPr>
                <w:rStyle w:val="aff"/>
                <w:rFonts w:ascii="Times New Roman" w:eastAsia="Times New Roman" w:hAnsi="Times New Roman" w:cs="Times New Roman"/>
              </w:rPr>
              <w:t>Оценка риска ликвидности</w:t>
            </w:r>
            <w:r w:rsidR="00F35076">
              <w:rPr>
                <w:rFonts w:ascii="Times New Roman" w:eastAsia="Times New Roman" w:hAnsi="Times New Roman" w:cs="Times New Roman"/>
              </w:rPr>
              <w:tab/>
            </w:r>
            <w:r w:rsidR="00F35076">
              <w:rPr>
                <w:rFonts w:ascii="Times New Roman" w:eastAsia="Times New Roman" w:hAnsi="Times New Roman" w:cs="Times New Roman"/>
              </w:rPr>
              <w:fldChar w:fldCharType="begin"/>
            </w:r>
            <w:r w:rsidR="00F35076">
              <w:rPr>
                <w:rFonts w:ascii="Times New Roman" w:eastAsia="Times New Roman" w:hAnsi="Times New Roman" w:cs="Times New Roman"/>
              </w:rPr>
              <w:instrText>PAGEREF _Toc13 \h</w:instrText>
            </w:r>
            <w:r w:rsidR="00F35076">
              <w:rPr>
                <w:rFonts w:ascii="Times New Roman" w:eastAsia="Times New Roman" w:hAnsi="Times New Roman" w:cs="Times New Roman"/>
              </w:rPr>
            </w:r>
            <w:r w:rsidR="00F35076">
              <w:rPr>
                <w:rFonts w:ascii="Times New Roman" w:eastAsia="Times New Roman" w:hAnsi="Times New Roman" w:cs="Times New Roman"/>
              </w:rPr>
              <w:fldChar w:fldCharType="separate"/>
            </w:r>
            <w:r w:rsidR="00F35076">
              <w:rPr>
                <w:rFonts w:ascii="Times New Roman" w:eastAsia="Times New Roman" w:hAnsi="Times New Roman" w:cs="Times New Roman"/>
              </w:rPr>
              <w:t>14</w:t>
            </w:r>
            <w:r w:rsidR="00F35076">
              <w:rPr>
                <w:rFonts w:ascii="Times New Roman" w:eastAsia="Times New Roman" w:hAnsi="Times New Roman" w:cs="Times New Roman"/>
              </w:rPr>
              <w:fldChar w:fldCharType="end"/>
            </w:r>
          </w:hyperlink>
        </w:p>
        <w:p w:rsidR="002049E4" w:rsidRDefault="00AF13FE">
          <w:pPr>
            <w:pStyle w:val="24"/>
            <w:tabs>
              <w:tab w:val="clear" w:pos="9627"/>
              <w:tab w:val="left" w:pos="1134"/>
              <w:tab w:val="right" w:leader="dot" w:pos="9637"/>
            </w:tabs>
            <w:rPr>
              <w:rFonts w:ascii="Times New Roman" w:hAnsi="Times New Roman" w:cs="Times New Roman"/>
            </w:rPr>
          </w:pPr>
          <w:hyperlink w:anchor="_Toc14" w:tooltip="#_Toc14" w:history="1">
            <w:r w:rsidR="00F35076">
              <w:rPr>
                <w:rFonts w:ascii="Times New Roman" w:eastAsiaTheme="majorEastAsia" w:hAnsi="Times New Roman" w:cs="Times New Roman"/>
              </w:rPr>
              <w:t>3.3.</w:t>
            </w:r>
            <w:r w:rsidR="00F35076">
              <w:rPr>
                <w:rFonts w:ascii="Times New Roman" w:eastAsia="Times New Roman" w:hAnsi="Times New Roman" w:cs="Times New Roman"/>
              </w:rPr>
              <w:tab/>
            </w:r>
            <w:r w:rsidR="00F35076">
              <w:rPr>
                <w:rStyle w:val="aff"/>
                <w:rFonts w:ascii="Times New Roman" w:eastAsia="Times New Roman" w:hAnsi="Times New Roman" w:cs="Times New Roman"/>
              </w:rPr>
              <w:t>Реагирование на риск ликвидности. Мероприятия по управлению риском ликвидности</w:t>
            </w:r>
            <w:r w:rsidR="00F35076">
              <w:rPr>
                <w:rFonts w:ascii="Times New Roman" w:eastAsia="Times New Roman" w:hAnsi="Times New Roman" w:cs="Times New Roman"/>
              </w:rPr>
              <w:tab/>
            </w:r>
            <w:r w:rsidR="00F35076">
              <w:rPr>
                <w:rFonts w:ascii="Times New Roman" w:eastAsia="Times New Roman" w:hAnsi="Times New Roman" w:cs="Times New Roman"/>
              </w:rPr>
              <w:fldChar w:fldCharType="begin"/>
            </w:r>
            <w:r w:rsidR="00F35076">
              <w:rPr>
                <w:rFonts w:ascii="Times New Roman" w:eastAsia="Times New Roman" w:hAnsi="Times New Roman" w:cs="Times New Roman"/>
              </w:rPr>
              <w:instrText>PAGEREF _Toc14 \h</w:instrText>
            </w:r>
            <w:r w:rsidR="00F35076">
              <w:rPr>
                <w:rFonts w:ascii="Times New Roman" w:eastAsia="Times New Roman" w:hAnsi="Times New Roman" w:cs="Times New Roman"/>
              </w:rPr>
            </w:r>
            <w:r w:rsidR="00F35076">
              <w:rPr>
                <w:rFonts w:ascii="Times New Roman" w:eastAsia="Times New Roman" w:hAnsi="Times New Roman" w:cs="Times New Roman"/>
              </w:rPr>
              <w:fldChar w:fldCharType="separate"/>
            </w:r>
            <w:r w:rsidR="00F35076">
              <w:rPr>
                <w:rFonts w:ascii="Times New Roman" w:eastAsia="Times New Roman" w:hAnsi="Times New Roman" w:cs="Times New Roman"/>
              </w:rPr>
              <w:t>16</w:t>
            </w:r>
            <w:r w:rsidR="00F35076">
              <w:rPr>
                <w:rFonts w:ascii="Times New Roman" w:eastAsia="Times New Roman" w:hAnsi="Times New Roman" w:cs="Times New Roman"/>
              </w:rPr>
              <w:fldChar w:fldCharType="end"/>
            </w:r>
          </w:hyperlink>
        </w:p>
        <w:p w:rsidR="002049E4" w:rsidRDefault="00AF13FE">
          <w:pPr>
            <w:pStyle w:val="24"/>
            <w:tabs>
              <w:tab w:val="clear" w:pos="9627"/>
              <w:tab w:val="left" w:pos="1134"/>
              <w:tab w:val="right" w:leader="dot" w:pos="9637"/>
            </w:tabs>
            <w:rPr>
              <w:rFonts w:ascii="Times New Roman" w:hAnsi="Times New Roman" w:cs="Times New Roman"/>
            </w:rPr>
          </w:pPr>
          <w:hyperlink w:anchor="_Toc15" w:tooltip="#_Toc15" w:history="1">
            <w:r w:rsidR="00F35076">
              <w:rPr>
                <w:rFonts w:ascii="Times New Roman" w:eastAsiaTheme="majorEastAsia" w:hAnsi="Times New Roman" w:cs="Times New Roman"/>
              </w:rPr>
              <w:t>3.4.</w:t>
            </w:r>
            <w:r w:rsidR="00F35076">
              <w:rPr>
                <w:rFonts w:ascii="Times New Roman" w:eastAsia="Times New Roman" w:hAnsi="Times New Roman" w:cs="Times New Roman"/>
              </w:rPr>
              <w:tab/>
            </w:r>
            <w:r w:rsidR="00F35076">
              <w:rPr>
                <w:rStyle w:val="aff"/>
                <w:rFonts w:ascii="Times New Roman" w:eastAsia="Times New Roman" w:hAnsi="Times New Roman" w:cs="Times New Roman"/>
              </w:rPr>
              <w:t>Мониторинг риска ликвидности и выполнения мероприятий  по управлению риском ликвидности</w:t>
            </w:r>
            <w:r w:rsidR="00F35076">
              <w:rPr>
                <w:rFonts w:ascii="Times New Roman" w:eastAsia="Times New Roman" w:hAnsi="Times New Roman" w:cs="Times New Roman"/>
              </w:rPr>
              <w:tab/>
            </w:r>
            <w:r w:rsidR="00F35076">
              <w:rPr>
                <w:rFonts w:ascii="Times New Roman" w:eastAsia="Times New Roman" w:hAnsi="Times New Roman" w:cs="Times New Roman"/>
              </w:rPr>
              <w:fldChar w:fldCharType="begin"/>
            </w:r>
            <w:r w:rsidR="00F35076">
              <w:rPr>
                <w:rFonts w:ascii="Times New Roman" w:eastAsia="Times New Roman" w:hAnsi="Times New Roman" w:cs="Times New Roman"/>
              </w:rPr>
              <w:instrText>PAGEREF _Toc15 \h</w:instrText>
            </w:r>
            <w:r w:rsidR="00F35076">
              <w:rPr>
                <w:rFonts w:ascii="Times New Roman" w:eastAsia="Times New Roman" w:hAnsi="Times New Roman" w:cs="Times New Roman"/>
              </w:rPr>
            </w:r>
            <w:r w:rsidR="00F35076">
              <w:rPr>
                <w:rFonts w:ascii="Times New Roman" w:eastAsia="Times New Roman" w:hAnsi="Times New Roman" w:cs="Times New Roman"/>
              </w:rPr>
              <w:fldChar w:fldCharType="separate"/>
            </w:r>
            <w:r w:rsidR="00F35076">
              <w:rPr>
                <w:rFonts w:ascii="Times New Roman" w:eastAsia="Times New Roman" w:hAnsi="Times New Roman" w:cs="Times New Roman"/>
              </w:rPr>
              <w:t>18</w:t>
            </w:r>
            <w:r w:rsidR="00F35076">
              <w:rPr>
                <w:rFonts w:ascii="Times New Roman" w:eastAsia="Times New Roman" w:hAnsi="Times New Roman" w:cs="Times New Roman"/>
              </w:rPr>
              <w:fldChar w:fldCharType="end"/>
            </w:r>
          </w:hyperlink>
        </w:p>
        <w:p w:rsidR="002049E4" w:rsidRDefault="00AF13FE">
          <w:pPr>
            <w:pStyle w:val="24"/>
            <w:tabs>
              <w:tab w:val="clear" w:pos="9627"/>
              <w:tab w:val="left" w:pos="1134"/>
              <w:tab w:val="right" w:leader="dot" w:pos="9637"/>
            </w:tabs>
            <w:rPr>
              <w:rFonts w:ascii="Times New Roman" w:hAnsi="Times New Roman" w:cs="Times New Roman"/>
            </w:rPr>
          </w:pPr>
          <w:hyperlink w:anchor="_Toc16" w:tooltip="#_Toc16" w:history="1">
            <w:r w:rsidR="00F35076">
              <w:rPr>
                <w:rFonts w:ascii="Times New Roman" w:eastAsiaTheme="majorEastAsia" w:hAnsi="Times New Roman" w:cs="Times New Roman"/>
              </w:rPr>
              <w:t>3.5.</w:t>
            </w:r>
            <w:r w:rsidR="00F35076">
              <w:rPr>
                <w:rFonts w:ascii="Times New Roman" w:eastAsia="Times New Roman" w:hAnsi="Times New Roman" w:cs="Times New Roman"/>
              </w:rPr>
              <w:tab/>
            </w:r>
            <w:r w:rsidR="00F35076">
              <w:rPr>
                <w:rStyle w:val="aff"/>
                <w:rFonts w:ascii="Times New Roman" w:eastAsia="Times New Roman" w:hAnsi="Times New Roman" w:cs="Times New Roman"/>
              </w:rPr>
              <w:t>Отчетность и обмен информацией в рамках управления риском ликвидности</w:t>
            </w:r>
            <w:r w:rsidR="00F35076">
              <w:rPr>
                <w:rFonts w:ascii="Times New Roman" w:eastAsia="Times New Roman" w:hAnsi="Times New Roman" w:cs="Times New Roman"/>
              </w:rPr>
              <w:tab/>
            </w:r>
            <w:r w:rsidR="00F35076">
              <w:rPr>
                <w:rFonts w:ascii="Times New Roman" w:eastAsia="Times New Roman" w:hAnsi="Times New Roman" w:cs="Times New Roman"/>
              </w:rPr>
              <w:fldChar w:fldCharType="begin"/>
            </w:r>
            <w:r w:rsidR="00F35076">
              <w:rPr>
                <w:rFonts w:ascii="Times New Roman" w:eastAsia="Times New Roman" w:hAnsi="Times New Roman" w:cs="Times New Roman"/>
              </w:rPr>
              <w:instrText>PAGEREF _Toc16 \h</w:instrText>
            </w:r>
            <w:r w:rsidR="00F35076">
              <w:rPr>
                <w:rFonts w:ascii="Times New Roman" w:eastAsia="Times New Roman" w:hAnsi="Times New Roman" w:cs="Times New Roman"/>
              </w:rPr>
            </w:r>
            <w:r w:rsidR="00F35076">
              <w:rPr>
                <w:rFonts w:ascii="Times New Roman" w:eastAsia="Times New Roman" w:hAnsi="Times New Roman" w:cs="Times New Roman"/>
              </w:rPr>
              <w:fldChar w:fldCharType="separate"/>
            </w:r>
            <w:r w:rsidR="00F35076">
              <w:rPr>
                <w:rFonts w:ascii="Times New Roman" w:eastAsia="Times New Roman" w:hAnsi="Times New Roman" w:cs="Times New Roman"/>
              </w:rPr>
              <w:t>19</w:t>
            </w:r>
            <w:r w:rsidR="00F35076">
              <w:rPr>
                <w:rFonts w:ascii="Times New Roman" w:eastAsia="Times New Roman" w:hAnsi="Times New Roman" w:cs="Times New Roman"/>
              </w:rPr>
              <w:fldChar w:fldCharType="end"/>
            </w:r>
          </w:hyperlink>
        </w:p>
        <w:p w:rsidR="002049E4" w:rsidRDefault="00AF13FE">
          <w:pPr>
            <w:pStyle w:val="12"/>
            <w:tabs>
              <w:tab w:val="clear" w:pos="9627"/>
              <w:tab w:val="right" w:leader="dot" w:pos="9637"/>
            </w:tabs>
            <w:rPr>
              <w:rFonts w:ascii="Times New Roman" w:hAnsi="Times New Roman" w:cs="Times New Roman"/>
              <w:bCs w:val="0"/>
            </w:rPr>
          </w:pPr>
          <w:hyperlink w:anchor="_Toc17" w:tooltip="#_Toc17" w:history="1">
            <w:r w:rsidR="00F35076">
              <w:rPr>
                <w:rStyle w:val="aff"/>
                <w:rFonts w:ascii="Times New Roman" w:eastAsiaTheme="majorEastAsia" w:hAnsi="Times New Roman" w:cs="Times New Roman"/>
                <w:bCs w:val="0"/>
              </w:rPr>
              <w:t>3.6. Оценка эффективности управления риском ликвидности</w:t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  <w:tab/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  <w:fldChar w:fldCharType="begin"/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  <w:instrText>PAGEREF _Toc17 \h</w:instrText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  <w:fldChar w:fldCharType="separate"/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  <w:t>21</w:t>
            </w:r>
            <w:r w:rsidR="00F35076">
              <w:rPr>
                <w:rFonts w:ascii="Times New Roman" w:eastAsia="Times New Roman" w:hAnsi="Times New Roman" w:cs="Times New Roman"/>
                <w:bCs w:val="0"/>
              </w:rPr>
              <w:fldChar w:fldCharType="end"/>
            </w:r>
          </w:hyperlink>
        </w:p>
        <w:p w:rsidR="002049E4" w:rsidRDefault="00AF13FE">
          <w:pPr>
            <w:pStyle w:val="24"/>
            <w:tabs>
              <w:tab w:val="clear" w:pos="9627"/>
              <w:tab w:val="right" w:leader="dot" w:pos="9637"/>
            </w:tabs>
            <w:rPr>
              <w:rFonts w:ascii="Times New Roman" w:hAnsi="Times New Roman" w:cs="Times New Roman"/>
            </w:rPr>
          </w:pPr>
          <w:hyperlink w:anchor="_Toc18" w:tooltip="#_Toc18" w:history="1">
            <w:r w:rsidR="00F35076">
              <w:rPr>
                <w:rStyle w:val="aff"/>
                <w:rFonts w:ascii="Times New Roman" w:eastAsia="Times New Roman" w:hAnsi="Times New Roman" w:cs="Times New Roman"/>
              </w:rPr>
              <w:t>3.7. Внутренний контроль управления риском ликвидности</w:t>
            </w:r>
            <w:r w:rsidR="00F35076">
              <w:rPr>
                <w:rFonts w:ascii="Times New Roman" w:eastAsia="Times New Roman" w:hAnsi="Times New Roman" w:cs="Times New Roman"/>
              </w:rPr>
              <w:tab/>
            </w:r>
            <w:r w:rsidR="00F35076">
              <w:rPr>
                <w:rFonts w:ascii="Times New Roman" w:eastAsia="Times New Roman" w:hAnsi="Times New Roman" w:cs="Times New Roman"/>
              </w:rPr>
              <w:fldChar w:fldCharType="begin"/>
            </w:r>
            <w:r w:rsidR="00F35076">
              <w:rPr>
                <w:rFonts w:ascii="Times New Roman" w:eastAsia="Times New Roman" w:hAnsi="Times New Roman" w:cs="Times New Roman"/>
              </w:rPr>
              <w:instrText>PAGEREF _Toc18 \h</w:instrText>
            </w:r>
            <w:r w:rsidR="00F35076">
              <w:rPr>
                <w:rFonts w:ascii="Times New Roman" w:eastAsia="Times New Roman" w:hAnsi="Times New Roman" w:cs="Times New Roman"/>
              </w:rPr>
            </w:r>
            <w:r w:rsidR="00F35076">
              <w:rPr>
                <w:rFonts w:ascii="Times New Roman" w:eastAsia="Times New Roman" w:hAnsi="Times New Roman" w:cs="Times New Roman"/>
              </w:rPr>
              <w:fldChar w:fldCharType="separate"/>
            </w:r>
            <w:r w:rsidR="00F35076">
              <w:rPr>
                <w:rFonts w:ascii="Times New Roman" w:eastAsia="Times New Roman" w:hAnsi="Times New Roman" w:cs="Times New Roman"/>
              </w:rPr>
              <w:t>22</w:t>
            </w:r>
            <w:r w:rsidR="00F35076">
              <w:rPr>
                <w:rFonts w:ascii="Times New Roman" w:eastAsia="Times New Roman" w:hAnsi="Times New Roman" w:cs="Times New Roman"/>
              </w:rPr>
              <w:fldChar w:fldCharType="end"/>
            </w:r>
          </w:hyperlink>
        </w:p>
        <w:p w:rsidR="002049E4" w:rsidRDefault="00F35076">
          <w:pPr>
            <w:tabs>
              <w:tab w:val="left" w:pos="567"/>
              <w:tab w:val="left" w:pos="1134"/>
            </w:tabs>
            <w:ind w:firstLine="0"/>
            <w:rPr>
              <w:rFonts w:ascii="Times New Roman" w:hAnsi="Times New Roman"/>
            </w:rPr>
          </w:pPr>
          <w:r>
            <w:rPr>
              <w:rFonts w:ascii="Times New Roman" w:eastAsia="Times New Roman" w:hAnsi="Times New Roman"/>
              <w:sz w:val="20"/>
              <w:szCs w:val="20"/>
            </w:rPr>
            <w:fldChar w:fldCharType="end"/>
          </w:r>
        </w:p>
      </w:sdtContent>
    </w:sdt>
    <w:p w:rsidR="002049E4" w:rsidRDefault="002049E4">
      <w:pPr>
        <w:pStyle w:val="afff"/>
        <w:rPr>
          <w:szCs w:val="28"/>
        </w:rPr>
      </w:pPr>
    </w:p>
    <w:p w:rsidR="002049E4" w:rsidRDefault="002049E4">
      <w:pPr>
        <w:pStyle w:val="1"/>
        <w:spacing w:before="120" w:after="120" w:line="240" w:lineRule="auto"/>
        <w:ind w:firstLine="709"/>
        <w:jc w:val="both"/>
        <w:rPr>
          <w:rFonts w:ascii="Times New Roman" w:hAnsi="Times New Roman"/>
          <w:szCs w:val="28"/>
        </w:rPr>
        <w:sectPr w:rsidR="002049E4">
          <w:headerReference w:type="default" r:id="rId14"/>
          <w:footerReference w:type="default" r:id="rId15"/>
          <w:pgSz w:w="11906" w:h="16838"/>
          <w:pgMar w:top="1134" w:right="851" w:bottom="1134" w:left="1418" w:header="709" w:footer="709" w:gutter="0"/>
          <w:pgNumType w:start="2"/>
          <w:cols w:space="708"/>
          <w:docGrid w:linePitch="360"/>
        </w:sectPr>
      </w:pPr>
    </w:p>
    <w:p w:rsidR="002049E4" w:rsidRDefault="00F35076">
      <w:pPr>
        <w:pStyle w:val="1"/>
        <w:numPr>
          <w:ilvl w:val="0"/>
          <w:numId w:val="8"/>
        </w:numPr>
        <w:spacing w:before="240" w:after="120" w:line="240" w:lineRule="auto"/>
        <w:ind w:left="0" w:firstLine="709"/>
        <w:jc w:val="both"/>
        <w:rPr>
          <w:rFonts w:ascii="Times New Roman" w:hAnsi="Times New Roman"/>
        </w:rPr>
      </w:pPr>
      <w:bookmarkStart w:id="1" w:name="_Toc963901"/>
      <w:bookmarkStart w:id="2" w:name="_Toc109810224"/>
      <w:bookmarkStart w:id="3" w:name="_Toc175748998"/>
      <w:r>
        <w:rPr>
          <w:rFonts w:ascii="Times New Roman" w:eastAsia="Times New Roman" w:hAnsi="Times New Roman"/>
        </w:rPr>
        <w:lastRenderedPageBreak/>
        <w:t>Общие положения</w:t>
      </w:r>
      <w:bookmarkEnd w:id="1"/>
      <w:bookmarkEnd w:id="2"/>
      <w:bookmarkEnd w:id="3"/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 xml:space="preserve">В Положении по управлению риском ликвидности </w:t>
      </w:r>
      <w:r>
        <w:rPr>
          <w:rFonts w:ascii="Times New Roman" w:eastAsia="Times New Roman" w:hAnsi="Times New Roman"/>
          <w:color w:val="000000"/>
          <w:szCs w:val="28"/>
          <w:highlight w:val="white"/>
        </w:rPr>
        <w:t>ООО «Газпром межрегионгаз Уфа»</w:t>
      </w:r>
      <w:r>
        <w:rPr>
          <w:rFonts w:ascii="Times New Roman" w:eastAsia="Times New Roman" w:hAnsi="Times New Roman"/>
          <w:szCs w:val="28"/>
        </w:rPr>
        <w:t xml:space="preserve"> (далее – Положение) используются сокращения, термины и определения, приведенные в пп. 1.1 и 1.2 Положения.</w:t>
      </w:r>
    </w:p>
    <w:p w:rsidR="002049E4" w:rsidRDefault="00F35076">
      <w:pPr>
        <w:pStyle w:val="2"/>
        <w:numPr>
          <w:ilvl w:val="1"/>
          <w:numId w:val="8"/>
        </w:numPr>
        <w:spacing w:before="120"/>
        <w:ind w:left="0" w:firstLine="709"/>
        <w:jc w:val="both"/>
        <w:rPr>
          <w:rFonts w:ascii="Times New Roman" w:hAnsi="Times New Roman"/>
        </w:rPr>
      </w:pPr>
      <w:bookmarkStart w:id="4" w:name="_Toc963902"/>
      <w:bookmarkStart w:id="5" w:name="_Toc109810225"/>
      <w:bookmarkStart w:id="6" w:name="_Toc175748999"/>
      <w:r>
        <w:rPr>
          <w:rFonts w:ascii="Times New Roman" w:eastAsia="Times New Roman" w:hAnsi="Times New Roman"/>
        </w:rPr>
        <w:t>Используемые сокращения</w:t>
      </w:r>
      <w:bookmarkEnd w:id="4"/>
      <w:bookmarkEnd w:id="5"/>
      <w:bookmarkEnd w:id="6"/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4"/>
        <w:gridCol w:w="6440"/>
      </w:tblGrid>
      <w:tr w:rsidR="002049E4">
        <w:trPr>
          <w:cantSplit/>
          <w:tblHeader/>
          <w:jc w:val="center"/>
        </w:trPr>
        <w:tc>
          <w:tcPr>
            <w:tcW w:w="1619" w:type="pct"/>
            <w:shd w:val="clear" w:color="auto" w:fill="auto"/>
            <w:vAlign w:val="center"/>
          </w:tcPr>
          <w:p w:rsidR="002049E4" w:rsidRDefault="00F35076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Сокращение</w:t>
            </w:r>
          </w:p>
        </w:tc>
        <w:tc>
          <w:tcPr>
            <w:tcW w:w="3381" w:type="pct"/>
            <w:shd w:val="clear" w:color="auto" w:fill="auto"/>
            <w:vAlign w:val="center"/>
          </w:tcPr>
          <w:p w:rsidR="002049E4" w:rsidRDefault="00F35076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Полное название</w:t>
            </w:r>
          </w:p>
        </w:tc>
      </w:tr>
      <w:tr w:rsidR="002049E4">
        <w:trPr>
          <w:cantSplit/>
          <w:jc w:val="center"/>
        </w:trPr>
        <w:tc>
          <w:tcPr>
            <w:tcW w:w="1619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КИР</w:t>
            </w:r>
          </w:p>
        </w:tc>
        <w:tc>
          <w:tcPr>
            <w:tcW w:w="3381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Ключевые индикаторы риска</w:t>
            </w:r>
          </w:p>
        </w:tc>
      </w:tr>
      <w:tr w:rsidR="002049E4">
        <w:trPr>
          <w:cantSplit/>
          <w:jc w:val="center"/>
        </w:trPr>
        <w:tc>
          <w:tcPr>
            <w:tcW w:w="1619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МРГ</w:t>
            </w:r>
          </w:p>
        </w:tc>
        <w:tc>
          <w:tcPr>
            <w:tcW w:w="3381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ООО «Газпром межрегионгаз»</w:t>
            </w:r>
          </w:p>
        </w:tc>
      </w:tr>
      <w:tr w:rsidR="002049E4">
        <w:trPr>
          <w:cantSplit/>
          <w:jc w:val="center"/>
        </w:trPr>
        <w:tc>
          <w:tcPr>
            <w:tcW w:w="1619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Группа Газпром межрегионгаз</w:t>
            </w:r>
          </w:p>
        </w:tc>
        <w:tc>
          <w:tcPr>
            <w:tcW w:w="3381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ООО «Газпром межрегионгаз» и организации Группы Газпром межрегионгаз </w:t>
            </w:r>
          </w:p>
        </w:tc>
      </w:tr>
      <w:tr w:rsidR="002049E4">
        <w:trPr>
          <w:cantSplit/>
          <w:jc w:val="center"/>
        </w:trPr>
        <w:tc>
          <w:tcPr>
            <w:tcW w:w="1619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Общество</w:t>
            </w:r>
          </w:p>
        </w:tc>
        <w:tc>
          <w:tcPr>
            <w:tcW w:w="3381" w:type="pct"/>
          </w:tcPr>
          <w:p w:rsidR="002049E4" w:rsidRDefault="00735884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  <w:t>ПАО «Газпром газораспределение</w:t>
            </w:r>
            <w:r w:rsidR="00F35076"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  <w:t xml:space="preserve"> Уфа»</w:t>
            </w:r>
          </w:p>
        </w:tc>
      </w:tr>
      <w:tr w:rsidR="002049E4">
        <w:trPr>
          <w:cantSplit/>
          <w:jc w:val="center"/>
        </w:trPr>
        <w:tc>
          <w:tcPr>
            <w:tcW w:w="1619" w:type="pct"/>
            <w:shd w:val="clear" w:color="auto" w:fill="auto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Политика</w:t>
            </w:r>
          </w:p>
        </w:tc>
        <w:tc>
          <w:tcPr>
            <w:tcW w:w="3381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Политика управления рисками и внутреннего контроля Общества </w:t>
            </w:r>
          </w:p>
        </w:tc>
      </w:tr>
      <w:tr w:rsidR="002049E4">
        <w:trPr>
          <w:cantSplit/>
          <w:jc w:val="center"/>
        </w:trPr>
        <w:tc>
          <w:tcPr>
            <w:tcW w:w="1619" w:type="pct"/>
            <w:shd w:val="clear" w:color="auto" w:fill="auto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ПУРиВК</w:t>
            </w:r>
          </w:p>
        </w:tc>
        <w:tc>
          <w:tcPr>
            <w:tcW w:w="3381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Подразделение по управлению рисками и внутреннему контролю</w:t>
            </w:r>
          </w:p>
        </w:tc>
      </w:tr>
      <w:tr w:rsidR="002049E4">
        <w:trPr>
          <w:cantSplit/>
          <w:jc w:val="center"/>
        </w:trPr>
        <w:tc>
          <w:tcPr>
            <w:tcW w:w="1619" w:type="pct"/>
            <w:shd w:val="clear" w:color="auto" w:fill="auto"/>
          </w:tcPr>
          <w:p w:rsidR="002049E4" w:rsidRDefault="00F35076">
            <w:pPr>
              <w:ind w:firstLine="0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СУРиВК</w:t>
            </w:r>
          </w:p>
        </w:tc>
        <w:tc>
          <w:tcPr>
            <w:tcW w:w="3381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Система управления рисками и внутреннего контроля</w:t>
            </w:r>
          </w:p>
        </w:tc>
      </w:tr>
      <w:tr w:rsidR="002049E4">
        <w:trPr>
          <w:cantSplit/>
          <w:jc w:val="center"/>
        </w:trPr>
        <w:tc>
          <w:tcPr>
            <w:tcW w:w="1619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CFaR</w:t>
            </w:r>
          </w:p>
        </w:tc>
        <w:tc>
          <w:tcPr>
            <w:tcW w:w="3381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Cashflow-at-Risk (денежный поток под риском)</w:t>
            </w:r>
          </w:p>
        </w:tc>
      </w:tr>
      <w:tr w:rsidR="002049E4">
        <w:trPr>
          <w:cantSplit/>
          <w:jc w:val="center"/>
        </w:trPr>
        <w:tc>
          <w:tcPr>
            <w:tcW w:w="1619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VaR</w:t>
            </w:r>
          </w:p>
        </w:tc>
        <w:tc>
          <w:tcPr>
            <w:tcW w:w="3381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Value-at-Risk (стоимость под риском)</w:t>
            </w:r>
          </w:p>
        </w:tc>
      </w:tr>
    </w:tbl>
    <w:p w:rsidR="002049E4" w:rsidRDefault="00F35076">
      <w:pPr>
        <w:pStyle w:val="2"/>
        <w:numPr>
          <w:ilvl w:val="1"/>
          <w:numId w:val="8"/>
        </w:numPr>
        <w:spacing w:before="120"/>
        <w:jc w:val="both"/>
        <w:rPr>
          <w:rFonts w:ascii="Times New Roman" w:hAnsi="Times New Roman"/>
        </w:rPr>
      </w:pPr>
      <w:bookmarkStart w:id="7" w:name="_Toc963903"/>
      <w:bookmarkStart w:id="8" w:name="_Toc175749000"/>
      <w:r>
        <w:rPr>
          <w:rFonts w:ascii="Times New Roman" w:eastAsia="Times New Roman" w:hAnsi="Times New Roman"/>
        </w:rPr>
        <w:t>Термины и определения</w:t>
      </w:r>
      <w:bookmarkEnd w:id="7"/>
      <w:bookmarkEnd w:id="8"/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3"/>
        <w:gridCol w:w="6701"/>
      </w:tblGrid>
      <w:tr w:rsidR="002049E4">
        <w:trPr>
          <w:cantSplit/>
          <w:tblHeader/>
          <w:jc w:val="center"/>
        </w:trPr>
        <w:tc>
          <w:tcPr>
            <w:tcW w:w="1482" w:type="pct"/>
            <w:shd w:val="clear" w:color="auto" w:fill="auto"/>
            <w:vAlign w:val="center"/>
          </w:tcPr>
          <w:p w:rsidR="002049E4" w:rsidRDefault="00F35076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Термин</w:t>
            </w:r>
          </w:p>
        </w:tc>
        <w:tc>
          <w:tcPr>
            <w:tcW w:w="3518" w:type="pct"/>
            <w:shd w:val="clear" w:color="auto" w:fill="auto"/>
            <w:vAlign w:val="center"/>
          </w:tcPr>
          <w:p w:rsidR="002049E4" w:rsidRDefault="00F35076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Определение</w:t>
            </w:r>
          </w:p>
        </w:tc>
      </w:tr>
      <w:tr w:rsidR="002049E4">
        <w:trPr>
          <w:cantSplit/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pacing w:val="-1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10"/>
                <w:sz w:val="28"/>
                <w:szCs w:val="28"/>
              </w:rPr>
              <w:t>Буфер ликвидности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Запас необремененных ликвидных активов и возможностей привлечения денежных средств, который может быть использован в случае возникновения неблагоприятных событий, которые привели или могут привести к реализации риска ликвидности</w:t>
            </w:r>
          </w:p>
        </w:tc>
      </w:tr>
      <w:tr w:rsidR="002049E4">
        <w:trPr>
          <w:cantSplit/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Валютно-обменные операции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10"/>
                <w:sz w:val="28"/>
                <w:szCs w:val="28"/>
              </w:rPr>
              <w:t>Сделки между Обществом и банками-контрагентами или другими финансово-кредитными институтами по обмену валюты одной страны на валюту другой страны по согласованному курсу с проведением расчетов на определенную дату, в том числе операции купли-продажи иностранной валюты за рубли и конверсионные операции</w:t>
            </w:r>
          </w:p>
        </w:tc>
      </w:tr>
      <w:tr w:rsidR="002049E4">
        <w:trPr>
          <w:cantSplit/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Вероятность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pacing w:val="-1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Степень (мера) возможности реализации риска. Выражается количественно частотой наступления события за определенный период времени в процентах или долях единицы, а также посредством балльных оценок или качественно</w:t>
            </w:r>
          </w:p>
        </w:tc>
      </w:tr>
      <w:tr w:rsidR="002049E4">
        <w:trPr>
          <w:cantSplit/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Владелец риска ликвидности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Структурное подразделение Общества, функционирование которого непосредственно связано с возникновением риска ликвидности, ответственное за актуализацию сведений о риске ликвидности, разработку, реализацию и мониторинг исполнения мероприятий по управлению риском ликвидности</w:t>
            </w:r>
          </w:p>
        </w:tc>
      </w:tr>
      <w:tr w:rsidR="002049E4">
        <w:trPr>
          <w:cantSplit/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Долгосрочное кредитование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 кредитных средств на срок более одного календарного года</w:t>
            </w:r>
          </w:p>
        </w:tc>
      </w:tr>
      <w:tr w:rsidR="002049E4">
        <w:trPr>
          <w:cantSplit/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Допустимый уровень риска ликвидности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Уровень риска ликвидности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который органы управления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Общества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считают приемлемым и в результате реализации которого отклонение от поставленной цели не превысит установленный уровень</w:t>
            </w:r>
          </w:p>
        </w:tc>
      </w:tr>
      <w:tr w:rsidR="002049E4">
        <w:trPr>
          <w:cantSplit/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Единое казначейство Группы Газпром (Единое казначейство)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Структура Группы Газпром, состоящая из структурных подразделений администрации ПАО «Газпром» (Департамента 839, Департамента 816, Департамента 918, Управления 855), Финансового комитета ПАО «Газпром» и Единого расчетного центра, обеспечивающая реализацию основных функций Единого казначейства</w:t>
            </w:r>
          </w:p>
        </w:tc>
      </w:tr>
      <w:tr w:rsidR="002049E4">
        <w:trPr>
          <w:cantSplit/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Идентификация риска ликвидности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Процесс установления источников риска ликвидности, событий, приводящих к реализации угроз, исследование их причин и описание возможных последствий</w:t>
            </w:r>
          </w:p>
        </w:tc>
      </w:tr>
      <w:tr w:rsidR="002049E4">
        <w:trPr>
          <w:cantSplit/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Ключевые индикаторы риска ликвидности 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Количественные показатели, используемые для обеспечения раннего предупреждения об изменении уровня риска, сопоставление и регулярный мониторинг которых позволяет прогнозировать динамику уровня рисков и своевременно принимать меры для его поддержания на допустимом (приемлемом) уровне</w:t>
            </w:r>
          </w:p>
        </w:tc>
      </w:tr>
      <w:tr w:rsidR="002049E4">
        <w:trPr>
          <w:cantSplit/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Коллегиальный орган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Постоянно действующий комитет ПАО «Газпром», осуществляющий функции, предусмотренные Положением по управлению риском ликвидности Группы Газпром </w:t>
            </w:r>
          </w:p>
        </w:tc>
      </w:tr>
      <w:tr w:rsidR="002049E4">
        <w:trPr>
          <w:cantSplit/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Краткосрочное кредитование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 кредитных средств на срок до одного календарного года с целью покрытия кассовых разрывов</w:t>
            </w:r>
          </w:p>
        </w:tc>
      </w:tr>
      <w:tr w:rsidR="002049E4">
        <w:trPr>
          <w:cantSplit/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Кэш-пул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Объединение денежных средств нескольких участников кэш-пула на мастер-счете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Общества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являющегося лидером кэш-пула</w:t>
            </w:r>
          </w:p>
        </w:tc>
      </w:tr>
      <w:tr w:rsidR="002049E4">
        <w:trPr>
          <w:cantSplit/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Лидер кэш-пула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Участник кэш-пула, на мастер-счете которого осуществляется консолидация денежных средств участников кэш-пула или который консолидирует информацию по остаткам на счетах участников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кэш-пула</w:t>
            </w:r>
          </w:p>
        </w:tc>
      </w:tr>
      <w:tr w:rsidR="002049E4">
        <w:trPr>
          <w:cantSplit/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Ликвидность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Способность Общества своевременно и в полном объеме исполнять принятые финансовые обязательства и проводить расчеты по собственным операциям</w:t>
            </w:r>
          </w:p>
        </w:tc>
      </w:tr>
      <w:tr w:rsidR="002049E4">
        <w:trPr>
          <w:cantSplit/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Лимиты на риск ликвидности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Взаимосвязанная иерархическая совокупность показателей, ограничивающих полномочия владельцев (совладельцев) риска ликвидности по принятию риска ликвидности, обеспечивающая условия, при которых уровень риска ликвидности не превышает величину предельно допустимого уровня риска ликвидности</w:t>
            </w:r>
          </w:p>
        </w:tc>
      </w:tr>
      <w:tr w:rsidR="002049E4">
        <w:trPr>
          <w:cantSplit/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управлению риском ликвидности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Совокупность действий по реализации способов реагирования на риск ликвидности, осуществляемых с целью обеспечения достаточной уверенности в том, что уровень остаточного риска не превышает предельно допустимый уровень риска ликвидности</w:t>
            </w:r>
          </w:p>
        </w:tc>
      </w:tr>
      <w:tr w:rsidR="002049E4">
        <w:trPr>
          <w:cantSplit/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Недостаток (разрыв) ликвидности (кассовый разрыв)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Временный недостаток денежных средств, необходимых для финансирования обязательств (пассивов) Общества </w:t>
            </w:r>
          </w:p>
        </w:tc>
      </w:tr>
      <w:tr w:rsidR="002049E4">
        <w:trPr>
          <w:cantSplit/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Операционные риски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Риски, связанные с возникновением дополнительных издержек в результате сбоев в процессе эксплуатации производственных активов</w:t>
            </w:r>
            <w:r>
              <w:rPr>
                <w:rFonts w:ascii="Times New Roman" w:eastAsia="Times New Roman" w:hAnsi="Times New Roman"/>
                <w:spacing w:val="-6"/>
                <w:sz w:val="28"/>
                <w:szCs w:val="28"/>
                <w:lang w:eastAsia="ru-RU"/>
              </w:rPr>
              <w:t>, работе информационных систем, ошибок и мошенничества со стороны персонала, а также воздействия внешних событий</w:t>
            </w:r>
          </w:p>
        </w:tc>
      </w:tr>
      <w:tr w:rsidR="002049E4">
        <w:trPr>
          <w:cantSplit/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</w:rPr>
              <w:t xml:space="preserve">Орган управления Общества 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6"/>
                <w:sz w:val="28"/>
                <w:szCs w:val="28"/>
              </w:rPr>
              <w:t>Лицо или совокупность лиц Общества, которые в соответствии с </w:t>
            </w:r>
            <w:hyperlink r:id="rId16" w:tooltip="Законодательство" w:history="1">
              <w:r>
                <w:rPr>
                  <w:rFonts w:ascii="Times New Roman" w:eastAsia="Times New Roman" w:hAnsi="Times New Roman"/>
                  <w:spacing w:val="-6"/>
                  <w:sz w:val="28"/>
                  <w:szCs w:val="28"/>
                </w:rPr>
                <w:t>законодательством</w:t>
              </w:r>
            </w:hyperlink>
            <w:r>
              <w:rPr>
                <w:rFonts w:ascii="Times New Roman" w:eastAsia="Times New Roman" w:hAnsi="Times New Roman"/>
                <w:spacing w:val="-6"/>
                <w:sz w:val="28"/>
                <w:szCs w:val="28"/>
              </w:rPr>
              <w:t xml:space="preserve">, учредительными документами Общества либо решением уполномоченного на то органа Общества наделены определенными полномочиями в отношении Общества и через которые Общество осуществляет свою деятельность </w:t>
            </w:r>
          </w:p>
        </w:tc>
      </w:tr>
      <w:tr w:rsidR="002049E4">
        <w:trPr>
          <w:cantSplit/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Остаточный риск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Риск, который остается после реализации мероприятий по управлению риском ликвидности</w:t>
            </w:r>
          </w:p>
        </w:tc>
      </w:tr>
      <w:tr w:rsidR="002049E4">
        <w:trPr>
          <w:cantSplit/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План восстановления финансовой устойчивости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Документ Общества, содержащий перечень, экономические обоснования и сроки исполнения мероприятий, направленных на обеспечение непрерывности деятельности, улучшение финансового состояния и предотвращение несостоятельности (банкротства) в случае существенного снижения уровня ликвидности и возникновения проблем с фондированием активов (операций)</w:t>
            </w:r>
          </w:p>
        </w:tc>
      </w:tr>
      <w:tr w:rsidR="002049E4">
        <w:trPr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Платежный календарь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Форма управленческой отчетности Общества, отражающая данные по остаткам и движению денежных средств Общества в разрезе дат, валют и статей</w:t>
            </w:r>
          </w:p>
        </w:tc>
      </w:tr>
      <w:tr w:rsidR="002049E4">
        <w:trPr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ПУРиВК Общества 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8"/>
                <w:sz w:val="28"/>
                <w:szCs w:val="28"/>
              </w:rPr>
              <w:t xml:space="preserve">Структурное подразделение Общества, формирующее единую политику в области управления рисками и внутреннего контроля ПАО «Газпром», МРГ и Общества, осуществляющее методологическое обеспечение ее реализации, а также взаимодействие со структурными подразделениями Общества по вопросам управления рисками и внутреннего контроля в рамках своей компетенции. </w:t>
            </w:r>
          </w:p>
          <w:p w:rsidR="002049E4" w:rsidRDefault="002049E4">
            <w:pPr>
              <w:ind w:firstLine="0"/>
              <w:jc w:val="both"/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</w:tc>
      </w:tr>
      <w:tr w:rsidR="002049E4">
        <w:trPr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Последствия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Степень влияния реализации риска на достижение целей и решение задач Общества. Выражаются количественно через финансовые показатели, а также посредством балльных оценок или качественно</w:t>
            </w:r>
          </w:p>
        </w:tc>
      </w:tr>
      <w:tr w:rsidR="002049E4">
        <w:trPr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Предельно допустимый уровень риска ликвидности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Верхняя граница допустимого уровня риска ликвидности, установленная органом управления ПАО «Газпром»  </w:t>
            </w:r>
          </w:p>
        </w:tc>
      </w:tr>
      <w:tr w:rsidR="002049E4">
        <w:trPr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Размещение временно свободных денежных средств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денежными средствами Общества в целях сохранности, доступности, ликвидности</w:t>
            </w:r>
          </w:p>
        </w:tc>
      </w:tr>
      <w:tr w:rsidR="002049E4">
        <w:trPr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Реагирование на риск ликвидности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Совокупность целенаправленных воздействий на риск ликвидности, реализующих возможные способы (стратегии) реагирования на риск ликвидности (методы управления риском ликвидности):</w:t>
            </w:r>
          </w:p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 уклонение от риска ликвидности (избежание/ исключение риска ликвидности), отказ от мероприятий/деятельности, в результате которых возникает риск ликвидности, полный отказ от потенциальных источников риска ликвидности;</w:t>
            </w:r>
          </w:p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 снижение (сокращение) риска ликвидности – реализация мероприятий, осуществление действий,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направленных на уменьшение уровня риска ликвидности;</w:t>
            </w:r>
          </w:p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 перераспределение (передача) риска ликвидности – разделение риска ликвидности с другой стороной или сторонами, страхование;</w:t>
            </w:r>
          </w:p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 принятие (сохранение/удержание) риска ликвидности – отсутствие действий, применяемых при других способах реагирования на риск ликвидности, самострахование, хеджирование</w:t>
            </w:r>
          </w:p>
        </w:tc>
      </w:tr>
      <w:tr w:rsidR="002049E4">
        <w:trPr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Риск-координатор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Должностное лицо или структурное подразделение Общества, за которым в установленном порядке закреплена ответственность за обеспечение текущей методологической поддержки процесса управления рисками, консолидации информации по рискам, формирование и представление отчетности по рискам, координацию взаимодействия участников процесса управления рисками в структурных подразделениях Общества </w:t>
            </w:r>
          </w:p>
        </w:tc>
      </w:tr>
      <w:tr w:rsidR="002049E4">
        <w:trPr>
          <w:jc w:val="center"/>
        </w:trPr>
        <w:tc>
          <w:tcPr>
            <w:tcW w:w="1482" w:type="pct"/>
          </w:tcPr>
          <w:p w:rsidR="002049E4" w:rsidRDefault="00F35076">
            <w:pPr>
              <w:keepNext/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Риск ликвидности</w:t>
            </w:r>
          </w:p>
        </w:tc>
        <w:tc>
          <w:tcPr>
            <w:tcW w:w="3518" w:type="pct"/>
          </w:tcPr>
          <w:p w:rsidR="002049E4" w:rsidRDefault="00F35076">
            <w:pPr>
              <w:keepNext/>
              <w:keepLines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Финансовый риск, связанный с неспособностью Общества своевременно и в полном объеме исполнять свои финансовые обязательства вследствие несбалансированности финансовых активов и финансовых обязательств и/или возникновения непредвиденной необходимости немедленного и единовременного исполнения Обществом своих финансовых обязательств</w:t>
            </w:r>
          </w:p>
        </w:tc>
      </w:tr>
      <w:tr w:rsidR="002049E4">
        <w:trPr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Совладелец риска ликвидности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Структурное подразделение Общества, разделяющее полномочия и ответственность за управление риском ликвидности с владельцем риска ликвидности и другими совладельцами риска ликвидности</w:t>
            </w:r>
          </w:p>
        </w:tc>
      </w:tr>
      <w:tr w:rsidR="002049E4">
        <w:trPr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Страновые и региональные риски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Риски, связанные с совокупностью факторов, обусловленных экономической и политической ситуацией, а также спецификой законодательства, географическими и природно-климатическими особенностями определенной страны или региона, в том числе связанные с военными конфликтами, введением чрезвычайного положения или стихийными бедствиями</w:t>
            </w:r>
          </w:p>
        </w:tc>
      </w:tr>
      <w:tr w:rsidR="002049E4">
        <w:trPr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Стресс-тестирование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Совокупность аналитических приемов, позволяющих выявить чувствительность активов и пассивов (обязательств) к возможным экстремальным событиям</w:t>
            </w:r>
          </w:p>
        </w:tc>
      </w:tr>
      <w:tr w:rsidR="002049E4">
        <w:trPr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СУРиВК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Совокупность взаимосвязанных организационных мер и процессов, организационной структуры, локальных нормативных актов ПАО «Газпром», МРГ и Общества, иных документов, методик и процедур (положения, регламенты, стандарты и методические указания), норм корпоративной культуры и действий, предпринимаемых работниками структурных подразделений Общества , направленная на обеспечение достаточных гарантий достижения целей и решения задач, а также поддержку работников структурных подразделений Общества  при принятии решений в условиях неопределенности</w:t>
            </w:r>
          </w:p>
        </w:tc>
      </w:tr>
      <w:tr w:rsidR="002049E4">
        <w:trPr>
          <w:jc w:val="center"/>
        </w:trPr>
        <w:tc>
          <w:tcPr>
            <w:tcW w:w="1482" w:type="pct"/>
          </w:tcPr>
          <w:p w:rsidR="002049E4" w:rsidRDefault="00F35076">
            <w:pPr>
              <w:keepNext/>
              <w:keepLines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риском ликвидности</w:t>
            </w:r>
          </w:p>
        </w:tc>
        <w:tc>
          <w:tcPr>
            <w:tcW w:w="3518" w:type="pct"/>
          </w:tcPr>
          <w:p w:rsidR="002049E4" w:rsidRDefault="00F35076">
            <w:pPr>
              <w:keepNext/>
              <w:keepLines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Систематический процесс, затрагивающий деятельность Общества и обеспечивающий поддержку органам управления Общества в принятии управленческих решений в условии неопределенности и риска </w:t>
            </w:r>
          </w:p>
        </w:tc>
      </w:tr>
      <w:tr w:rsidR="002049E4">
        <w:trPr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Уровень риска ликвидности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Выраженное определенным формализованным способом сочетание вероятности и последствий реализации риска ликвидности</w:t>
            </w:r>
          </w:p>
        </w:tc>
      </w:tr>
      <w:tr w:rsidR="002049E4">
        <w:trPr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Участник кэш-пула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Общество, подключенные к кэш-пулу</w:t>
            </w:r>
          </w:p>
        </w:tc>
      </w:tr>
      <w:tr w:rsidR="002049E4">
        <w:trPr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C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ashflow-at-Risk (CFaR)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Базирующаяся на статистических методах модель оценки денежного потока, которая устанавливает границы возможных потерь с указанием их вероятности</w:t>
            </w:r>
          </w:p>
        </w:tc>
      </w:tr>
      <w:tr w:rsidR="002049E4">
        <w:trPr>
          <w:jc w:val="center"/>
        </w:trPr>
        <w:tc>
          <w:tcPr>
            <w:tcW w:w="1482" w:type="pct"/>
          </w:tcPr>
          <w:p w:rsidR="002049E4" w:rsidRDefault="00F3507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V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alue-at-Risk (VaR)</w:t>
            </w:r>
          </w:p>
        </w:tc>
        <w:tc>
          <w:tcPr>
            <w:tcW w:w="3518" w:type="pct"/>
          </w:tcPr>
          <w:p w:rsidR="002049E4" w:rsidRDefault="00F35076">
            <w:pPr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Количественная мера риска, равная максимальным потерям по данному риску, которые возможны в течение определенного срока (горизонта прогноза) с заданной доверительной вероятностью</w:t>
            </w:r>
          </w:p>
        </w:tc>
      </w:tr>
    </w:tbl>
    <w:p w:rsidR="002049E4" w:rsidRDefault="00F35076">
      <w:pPr>
        <w:pStyle w:val="aff0"/>
        <w:spacing w:before="60"/>
        <w:jc w:val="both"/>
        <w:rPr>
          <w:rFonts w:ascii="Times New Roman" w:hAnsi="Times New Roman"/>
          <w:sz w:val="28"/>
          <w:szCs w:val="28"/>
        </w:rPr>
      </w:pPr>
      <w:bookmarkStart w:id="9" w:name="_Toc963904"/>
      <w:r>
        <w:rPr>
          <w:rFonts w:ascii="Times New Roman" w:eastAsia="Times New Roman" w:hAnsi="Times New Roman"/>
          <w:sz w:val="28"/>
          <w:szCs w:val="28"/>
          <w:lang w:eastAsia="ru-RU"/>
        </w:rPr>
        <w:t>Термины, не включенные в настоящий раздел, подлежат применению в значениях, определенных в нормативных документах, приведенных в п. 1.4 настоящего Положения.</w:t>
      </w:r>
    </w:p>
    <w:p w:rsidR="002049E4" w:rsidRDefault="00F35076">
      <w:pPr>
        <w:pStyle w:val="2"/>
        <w:numPr>
          <w:ilvl w:val="1"/>
          <w:numId w:val="8"/>
        </w:numPr>
        <w:spacing w:before="120"/>
        <w:ind w:left="0" w:firstLine="709"/>
        <w:jc w:val="both"/>
        <w:rPr>
          <w:rFonts w:ascii="Times New Roman" w:hAnsi="Times New Roman"/>
        </w:rPr>
      </w:pPr>
      <w:bookmarkStart w:id="10" w:name="_Toc175749001"/>
      <w:r>
        <w:rPr>
          <w:rFonts w:ascii="Times New Roman" w:eastAsia="Times New Roman" w:hAnsi="Times New Roman"/>
        </w:rPr>
        <w:t xml:space="preserve">Цель и задачи </w:t>
      </w:r>
      <w:bookmarkEnd w:id="9"/>
      <w:r>
        <w:rPr>
          <w:rFonts w:ascii="Times New Roman" w:eastAsia="Times New Roman" w:hAnsi="Times New Roman"/>
        </w:rPr>
        <w:t>Положения</w:t>
      </w:r>
      <w:bookmarkEnd w:id="10"/>
    </w:p>
    <w:p w:rsidR="002049E4" w:rsidRDefault="00F35076">
      <w:pPr>
        <w:pStyle w:val="afff"/>
        <w:rPr>
          <w:szCs w:val="28"/>
        </w:rPr>
      </w:pPr>
      <w:r>
        <w:rPr>
          <w:szCs w:val="28"/>
        </w:rPr>
        <w:t>Целью настоящего Положения является систематизация и обобщение методов и подходов к управлению риском ликвидности в процессе деятельности Общества, а также обеспечение нормативной и методологической поддержки работников Общества, участвующих в процессе управления риском ликвидности согласно утвержденному в Обществе распределению полномочий и обязанностей.</w:t>
      </w:r>
    </w:p>
    <w:p w:rsidR="002049E4" w:rsidRDefault="00F35076">
      <w:pPr>
        <w:pStyle w:val="afff"/>
        <w:rPr>
          <w:szCs w:val="28"/>
        </w:rPr>
      </w:pPr>
      <w:r>
        <w:rPr>
          <w:szCs w:val="28"/>
        </w:rPr>
        <w:t>Для достижения обозначенной цели в рамках настоящего Положения решаются следующие задачи:</w:t>
      </w:r>
    </w:p>
    <w:p w:rsidR="002049E4" w:rsidRDefault="00F35076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уточнение и детализация целей, задач и принципов управления риском ликвидности как составной части СУРиВК;</w:t>
      </w:r>
    </w:p>
    <w:p w:rsidR="002049E4" w:rsidRDefault="00F35076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- закрепление единой методической и терминологической базы;</w:t>
      </w:r>
    </w:p>
    <w:p w:rsidR="002049E4" w:rsidRDefault="00F35076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распределение функций и полномочий между участниками процесса управления риском ликвидности;</w:t>
      </w:r>
    </w:p>
    <w:p w:rsidR="002049E4" w:rsidRDefault="00F35076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описание процесса управления риском ликвидности и детализация задач, решаемых на каждом этапе.</w:t>
      </w:r>
    </w:p>
    <w:p w:rsidR="002049E4" w:rsidRDefault="00F35076">
      <w:pPr>
        <w:pStyle w:val="17"/>
        <w:shd w:val="clear" w:color="auto" w:fill="auto"/>
        <w:spacing w:line="240" w:lineRule="auto"/>
        <w:ind w:firstLine="709"/>
        <w:rPr>
          <w:rFonts w:eastAsiaTheme="minorEastAsia"/>
          <w:color w:val="auto"/>
          <w:sz w:val="28"/>
          <w:szCs w:val="28"/>
          <w:highlight w:val="white"/>
        </w:rPr>
      </w:pPr>
      <w:r>
        <w:rPr>
          <w:rFonts w:eastAsiaTheme="minorEastAsia"/>
          <w:color w:val="auto"/>
          <w:sz w:val="28"/>
          <w:szCs w:val="28"/>
          <w:highlight w:val="white"/>
          <w:lang w:eastAsia="en-US" w:bidi="ar-SA"/>
        </w:rPr>
        <w:t>Дочерние общества на основе настоящего Положения обеспечивают утверждение локального нормативного акта (положения), регламентирующего порядок управления риском ликвидности в дочернем обществе.</w:t>
      </w:r>
    </w:p>
    <w:p w:rsidR="002049E4" w:rsidRDefault="002049E4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2049E4" w:rsidRDefault="00F35076">
      <w:pPr>
        <w:pStyle w:val="2"/>
        <w:numPr>
          <w:ilvl w:val="1"/>
          <w:numId w:val="8"/>
        </w:numPr>
        <w:spacing w:before="120"/>
        <w:ind w:left="0" w:firstLine="709"/>
        <w:jc w:val="both"/>
        <w:rPr>
          <w:rFonts w:ascii="Times New Roman" w:hAnsi="Times New Roman"/>
        </w:rPr>
      </w:pPr>
      <w:bookmarkStart w:id="11" w:name="_Toc963906"/>
      <w:bookmarkStart w:id="12" w:name="_Toc175749002"/>
      <w:r>
        <w:rPr>
          <w:rFonts w:ascii="Times New Roman" w:eastAsia="Times New Roman" w:hAnsi="Times New Roman"/>
        </w:rPr>
        <w:t>Нормативные документы</w:t>
      </w:r>
      <w:bookmarkEnd w:id="11"/>
      <w:bookmarkEnd w:id="12"/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bookmarkStart w:id="13" w:name="_Toc963907"/>
      <w:r>
        <w:rPr>
          <w:rFonts w:ascii="Times New Roman" w:eastAsia="Times New Roman" w:hAnsi="Times New Roman"/>
          <w:sz w:val="28"/>
          <w:szCs w:val="28"/>
        </w:rPr>
        <w:t>Настоящее Положение учитывает требования нормативных правовых актов Российской Федерации, локальных нормативных актов ПАО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</w:rPr>
        <w:t>«Газпром», МРГ и Общества.</w:t>
      </w:r>
    </w:p>
    <w:p w:rsidR="002049E4" w:rsidRDefault="00F35076">
      <w:pPr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eastAsia="Times New Roman" w:hAnsi="Times New Roman"/>
          <w:spacing w:val="-4"/>
          <w:sz w:val="28"/>
          <w:szCs w:val="28"/>
        </w:rPr>
        <w:t xml:space="preserve">В частности, Положение разработано с учетом положений и требований: 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Международных и российских стандартов в области управления рисками</w:t>
      </w:r>
      <w:r>
        <w:rPr>
          <w:rStyle w:val="aff2"/>
          <w:rFonts w:ascii="Times New Roman" w:eastAsia="Times New Roman" w:hAnsi="Times New Roman"/>
          <w:sz w:val="28"/>
          <w:szCs w:val="28"/>
        </w:rPr>
        <w:footnoteReference w:id="1"/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2049E4" w:rsidRDefault="00F35076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Политики управления рисками и внутреннего контроля ПАО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</w:rPr>
        <w:t>«Газпром»;</w:t>
      </w:r>
    </w:p>
    <w:p w:rsidR="002049E4" w:rsidRDefault="00F35076">
      <w:pPr>
        <w:tabs>
          <w:tab w:val="left" w:pos="992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 Положения по управлению риском ликвидности Группы Газпром;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Методических рекомендаций по управлению рисками с использованием качественных оценок ПАО «Газпром»;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 Классификатор рисков ПАО «Газпром», его дочерних обществ и организаций (далее – Классификатор рисков);</w:t>
      </w:r>
    </w:p>
    <w:p w:rsidR="002049E4" w:rsidRDefault="00F35076">
      <w:pPr>
        <w:tabs>
          <w:tab w:val="left" w:pos="992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 Политики управления рисками и внутреннего контроля ООО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«Газпром межрегионгаз» и организаций Группы Газпром межрегионгаз;</w:t>
      </w:r>
    </w:p>
    <w:p w:rsidR="002049E4" w:rsidRDefault="00F35076">
      <w:pPr>
        <w:tabs>
          <w:tab w:val="left" w:pos="992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 Положения об управлении финансовыми рисками ООО «Газпром межрегионгаз» (далее – Положение УФР);</w:t>
      </w:r>
    </w:p>
    <w:p w:rsidR="002049E4" w:rsidRDefault="00F35076">
      <w:pPr>
        <w:tabs>
          <w:tab w:val="left" w:pos="992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Политики.</w:t>
      </w:r>
    </w:p>
    <w:p w:rsidR="002049E4" w:rsidRDefault="00F35076">
      <w:pPr>
        <w:pStyle w:val="2"/>
        <w:numPr>
          <w:ilvl w:val="1"/>
          <w:numId w:val="8"/>
        </w:numPr>
        <w:spacing w:before="120"/>
        <w:ind w:left="0" w:firstLine="709"/>
        <w:jc w:val="both"/>
        <w:rPr>
          <w:rFonts w:ascii="Times New Roman" w:hAnsi="Times New Roman"/>
        </w:rPr>
      </w:pPr>
      <w:bookmarkStart w:id="14" w:name="_Toc175749003"/>
      <w:r>
        <w:rPr>
          <w:rFonts w:ascii="Times New Roman" w:eastAsia="Times New Roman" w:hAnsi="Times New Roman"/>
        </w:rPr>
        <w:t xml:space="preserve">Порядок изменения </w:t>
      </w:r>
      <w:bookmarkEnd w:id="13"/>
      <w:r>
        <w:rPr>
          <w:rFonts w:ascii="Times New Roman" w:eastAsia="Times New Roman" w:hAnsi="Times New Roman"/>
        </w:rPr>
        <w:t>Положения</w:t>
      </w:r>
      <w:bookmarkEnd w:id="14"/>
    </w:p>
    <w:p w:rsidR="002049E4" w:rsidRDefault="00F35076">
      <w:pPr>
        <w:pStyle w:val="14"/>
        <w:tabs>
          <w:tab w:val="left" w:pos="1276"/>
        </w:tabs>
        <w:ind w:left="0" w:firstLine="709"/>
        <w:rPr>
          <w:rFonts w:cs="Times New Roman"/>
        </w:rPr>
      </w:pPr>
      <w:bookmarkStart w:id="15" w:name="_Toc963908"/>
      <w:r>
        <w:rPr>
          <w:rFonts w:cs="Times New Roman"/>
          <w:szCs w:val="28"/>
          <w:lang w:eastAsia="de-DE"/>
        </w:rPr>
        <w:t>Основаниями для внесения изменений и дополнений в настоящее Положение являются</w:t>
      </w:r>
      <w:r>
        <w:rPr>
          <w:rFonts w:cs="Times New Roman"/>
        </w:rPr>
        <w:t>:</w:t>
      </w:r>
    </w:p>
    <w:p w:rsidR="002049E4" w:rsidRDefault="00F35076">
      <w:pPr>
        <w:pStyle w:val="affe"/>
        <w:tabs>
          <w:tab w:val="left" w:pos="709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de-DE"/>
        </w:rPr>
        <w:t>- изменение законодательства Российской Федерации, нормативных документов ПАО «Газпром», внутренних распорядительных и нормативных документов МРГ и Общества;</w:t>
      </w:r>
    </w:p>
    <w:p w:rsidR="002049E4" w:rsidRDefault="00F35076">
      <w:pPr>
        <w:pStyle w:val="affe"/>
        <w:tabs>
          <w:tab w:val="left" w:pos="709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de-DE"/>
        </w:rPr>
        <w:t xml:space="preserve">- изменение состава или полномочий и ответственности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участников процесса</w:t>
      </w:r>
      <w:r>
        <w:rPr>
          <w:rFonts w:ascii="Times New Roman" w:eastAsia="Times New Roman" w:hAnsi="Times New Roman"/>
          <w:sz w:val="28"/>
          <w:szCs w:val="28"/>
          <w:lang w:eastAsia="de-DE"/>
        </w:rPr>
        <w:t xml:space="preserve"> управления риском ликвидности согласно утвержденному в Обществе распределению полномочий и обязанностей;</w:t>
      </w:r>
    </w:p>
    <w:p w:rsidR="002049E4" w:rsidRDefault="00F35076">
      <w:pPr>
        <w:pStyle w:val="affe"/>
        <w:tabs>
          <w:tab w:val="left" w:pos="992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de-DE"/>
        </w:rPr>
        <w:lastRenderedPageBreak/>
        <w:t>- выявление в рамках оценки эффективности управления риском ликвидности необходимости совершенствования методологии или изменения процесса управления риском ликвидности.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de-DE"/>
        </w:rPr>
        <w:t>Контроль за соблюдением Положения, поддержанием его в актуальном состоянии, а также разрешением спорных вопросов в рамках управления риском ликвидности осуществляет ПУРиВК Общества.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de-DE"/>
        </w:rPr>
        <w:t>Настоящее Положение утверждается, изменяется и признается утратившим силу согласно установленному в Обществе порядку.</w:t>
      </w:r>
    </w:p>
    <w:p w:rsidR="002049E4" w:rsidRDefault="00F35076">
      <w:pPr>
        <w:pStyle w:val="1"/>
        <w:numPr>
          <w:ilvl w:val="0"/>
          <w:numId w:val="8"/>
        </w:numPr>
        <w:spacing w:before="240" w:after="120" w:line="240" w:lineRule="auto"/>
        <w:ind w:left="0" w:firstLine="709"/>
        <w:jc w:val="both"/>
        <w:rPr>
          <w:rFonts w:ascii="Times New Roman" w:hAnsi="Times New Roman"/>
        </w:rPr>
      </w:pPr>
      <w:bookmarkStart w:id="16" w:name="_Toc175749004"/>
      <w:r>
        <w:rPr>
          <w:rFonts w:ascii="Times New Roman" w:eastAsia="Times New Roman" w:hAnsi="Times New Roman"/>
        </w:rPr>
        <w:t>Процесс управления риск</w:t>
      </w:r>
      <w:bookmarkEnd w:id="15"/>
      <w:r>
        <w:rPr>
          <w:rFonts w:ascii="Times New Roman" w:eastAsia="Times New Roman" w:hAnsi="Times New Roman"/>
        </w:rPr>
        <w:t>ом ликвидности</w:t>
      </w:r>
      <w:bookmarkEnd w:id="16"/>
    </w:p>
    <w:p w:rsidR="002049E4" w:rsidRDefault="00F35076">
      <w:pPr>
        <w:pStyle w:val="2"/>
        <w:numPr>
          <w:ilvl w:val="1"/>
          <w:numId w:val="8"/>
        </w:numPr>
        <w:spacing w:before="120"/>
        <w:ind w:left="0" w:firstLine="709"/>
        <w:jc w:val="both"/>
        <w:rPr>
          <w:rFonts w:ascii="Times New Roman" w:hAnsi="Times New Roman"/>
        </w:rPr>
      </w:pPr>
      <w:bookmarkStart w:id="17" w:name="_Toc448410364"/>
      <w:bookmarkStart w:id="18" w:name="_Toc448410365"/>
      <w:bookmarkStart w:id="19" w:name="_Toc448410366"/>
      <w:bookmarkStart w:id="20" w:name="_Toc963909"/>
      <w:bookmarkStart w:id="21" w:name="_Toc175749005"/>
      <w:bookmarkEnd w:id="17"/>
      <w:bookmarkEnd w:id="18"/>
      <w:bookmarkEnd w:id="19"/>
      <w:r>
        <w:rPr>
          <w:rFonts w:ascii="Times New Roman" w:eastAsia="Times New Roman" w:hAnsi="Times New Roman"/>
        </w:rPr>
        <w:t xml:space="preserve">Цели и задачи управления риском </w:t>
      </w:r>
      <w:bookmarkEnd w:id="20"/>
      <w:r>
        <w:rPr>
          <w:rFonts w:ascii="Times New Roman" w:eastAsia="Times New Roman" w:hAnsi="Times New Roman"/>
        </w:rPr>
        <w:t>ликвидности</w:t>
      </w:r>
      <w:bookmarkEnd w:id="21"/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de-DE"/>
        </w:rPr>
        <w:t>2.1.1. Управление риском ликвидности способствует достижению целей и решению задач СУРиВК, определенных в Политике и Положении УФР.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de-DE"/>
        </w:rPr>
        <w:t xml:space="preserve">2.1.2. Целью управления риском ликвидности также является обеспечение достижения целей Общества в условиях изменчивости соотношения активов и обязательств (пассивов) Общества по видам и срокам погашения финансовых обязательств в условиях воздействия внутренних и внешних факторов. 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de-DE"/>
        </w:rPr>
        <w:t>2.1.3. Цель управления риском ликвидности достигается посредством решения следующих задач: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de-DE"/>
        </w:rPr>
        <w:t>2.1.3.1. Определение и утверждение в установленном порядке предельно допустимого уровня риска ликвидности Группы Газпром межрегионгаз и взаимосвязанной системы лимитов на риск ликвидности.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de-DE"/>
        </w:rPr>
        <w:t>2.1.3.2. Определение способов реагирования на риск ликвидности.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de-DE"/>
        </w:rPr>
        <w:t>2.1.3.3. Разработка и реализация мероприятий по управлению риском ликвидности, направленных на снижение до допустимых (приемлемых) уровней негативного влияния неопределенности на достижение целей Общества.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de-DE"/>
        </w:rPr>
        <w:t>2.1.3.4. Предотвращение (минимизация) финансовых и нефинансовых потерь Общества вследствие реализации риска ликвидности.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de-DE"/>
        </w:rPr>
        <w:t xml:space="preserve">2.1.3.5. Достижение эффективной адаптации процесса управления риском ликвидности к бизнес-процессам </w:t>
      </w:r>
      <w:r>
        <w:rPr>
          <w:rFonts w:ascii="Times New Roman" w:eastAsia="Times New Roman" w:hAnsi="Times New Roman"/>
          <w:sz w:val="28"/>
          <w:szCs w:val="28"/>
        </w:rPr>
        <w:t>Общества</w:t>
      </w:r>
      <w:r>
        <w:rPr>
          <w:rFonts w:ascii="Times New Roman" w:eastAsia="Times New Roman" w:hAnsi="Times New Roman"/>
          <w:sz w:val="28"/>
          <w:szCs w:val="28"/>
          <w:lang w:eastAsia="de-DE"/>
        </w:rPr>
        <w:t>.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de-DE"/>
        </w:rPr>
        <w:t>2.1.3.6. Обеспечение соответствия процессов управления риском ликвидности в Обществе состоянию внутренней и внешней среды, а также структуре и масштабам деятельности Группы Газпром межрегионгаз.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de-DE"/>
        </w:rPr>
        <w:t>2.1.3.7. Развитие культуры управления риском ликвидности.</w:t>
      </w:r>
    </w:p>
    <w:p w:rsidR="002049E4" w:rsidRDefault="00F35076">
      <w:pPr>
        <w:pStyle w:val="2"/>
        <w:numPr>
          <w:ilvl w:val="1"/>
          <w:numId w:val="8"/>
        </w:numPr>
        <w:spacing w:before="120"/>
        <w:ind w:left="0" w:firstLine="709"/>
        <w:jc w:val="both"/>
        <w:rPr>
          <w:rFonts w:ascii="Times New Roman" w:hAnsi="Times New Roman"/>
        </w:rPr>
      </w:pPr>
      <w:bookmarkStart w:id="22" w:name="_Toc963910"/>
      <w:bookmarkStart w:id="23" w:name="_Toc175749006"/>
      <w:r>
        <w:rPr>
          <w:rFonts w:ascii="Times New Roman" w:eastAsia="Times New Roman" w:hAnsi="Times New Roman"/>
          <w:bCs w:val="0"/>
          <w:szCs w:val="28"/>
          <w:lang w:eastAsia="de-DE"/>
        </w:rPr>
        <w:t xml:space="preserve">Принципы </w:t>
      </w:r>
      <w:bookmarkEnd w:id="22"/>
      <w:r>
        <w:rPr>
          <w:rFonts w:ascii="Times New Roman" w:eastAsia="Times New Roman" w:hAnsi="Times New Roman"/>
          <w:bCs w:val="0"/>
          <w:szCs w:val="28"/>
          <w:lang w:eastAsia="de-DE"/>
        </w:rPr>
        <w:t>управления риском ликвидности</w:t>
      </w:r>
      <w:bookmarkEnd w:id="23"/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de-DE"/>
        </w:rPr>
        <w:t>Дополнительно к основным принципам управления рисками, определенным в Политике и Положении УФР, настоящим Положением устанавливаются следующие принципы управления риском ликвидности: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de-DE"/>
        </w:rPr>
        <w:t>2.2.1. Ответственность и полномочия – работники Общества обеспечивают управление риском ликвидности в рамках выполнения своих должностных обязанностей и имеющихся компетенций.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de-DE"/>
        </w:rPr>
        <w:t xml:space="preserve">2.2.2. Совершенствование деятельности – управление риском ликвидности направлено на постоянное повышение эффективности деятельности Общества, </w:t>
      </w:r>
      <w:r>
        <w:rPr>
          <w:rFonts w:ascii="Times New Roman" w:eastAsia="Times New Roman" w:hAnsi="Times New Roman"/>
          <w:sz w:val="28"/>
          <w:szCs w:val="28"/>
          <w:lang w:eastAsia="de-DE"/>
        </w:rPr>
        <w:lastRenderedPageBreak/>
        <w:t>оптимизацию бизнес-процессов и организационной структуры Общества, обеспечивающих достижение целей деятельности Общества.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de-DE"/>
        </w:rPr>
        <w:t>2.2.3. Интеграция в бизнес-процессы – управление риском ликвидности является неотъемлемой частью бизнес-процессов Общества, в том числе принятия управленческих решений.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de-DE"/>
        </w:rPr>
        <w:t>2.2.4. Осведомленность и вовлеченность – руководители и иные работники структурных подразделений Общества, принимающие участие в управлении риском ликвидности и соответствующих бизнес-процессах Общества, должны быть своевременно проинформированы о риске ликвидности.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de-DE"/>
        </w:rPr>
        <w:t>2.2.5</w:t>
      </w:r>
      <w:r>
        <w:rPr>
          <w:rFonts w:ascii="Times New Roman" w:eastAsia="Times New Roman" w:hAnsi="Times New Roman"/>
          <w:spacing w:val="-4"/>
          <w:sz w:val="28"/>
          <w:szCs w:val="28"/>
          <w:lang w:eastAsia="de-DE"/>
        </w:rPr>
        <w:t>. Обеспечение «трех линий защиты»</w:t>
      </w:r>
      <w:r>
        <w:rPr>
          <w:rStyle w:val="aff2"/>
          <w:rFonts w:ascii="Times New Roman" w:eastAsia="Times New Roman" w:hAnsi="Times New Roman"/>
          <w:spacing w:val="-4"/>
          <w:sz w:val="28"/>
          <w:szCs w:val="28"/>
          <w:lang w:eastAsia="de-DE"/>
        </w:rPr>
        <w:footnoteReference w:id="2"/>
      </w:r>
      <w:r>
        <w:rPr>
          <w:rFonts w:ascii="Times New Roman" w:eastAsia="Times New Roman" w:hAnsi="Times New Roman"/>
          <w:spacing w:val="-4"/>
          <w:sz w:val="28"/>
          <w:szCs w:val="28"/>
          <w:lang w:eastAsia="de-DE"/>
        </w:rPr>
        <w:t xml:space="preserve"> – управление риском ликвидности</w:t>
      </w:r>
      <w:r>
        <w:rPr>
          <w:rFonts w:ascii="Times New Roman" w:eastAsia="Times New Roman" w:hAnsi="Times New Roman"/>
          <w:sz w:val="28"/>
          <w:szCs w:val="28"/>
          <w:lang w:eastAsia="de-DE"/>
        </w:rPr>
        <w:t xml:space="preserve"> в Обществе осуществляется на уровнях </w:t>
      </w:r>
      <w:r>
        <w:rPr>
          <w:rFonts w:ascii="Times New Roman" w:eastAsia="Times New Roman" w:hAnsi="Times New Roman"/>
          <w:sz w:val="28"/>
          <w:szCs w:val="28"/>
        </w:rPr>
        <w:t>владельцев риска ликвидности Общества, ПУРиВК Общества (и подразделения (работника) внутреннего аудита Общества.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de-DE"/>
        </w:rPr>
        <w:t>2.2.6. Непрерывность – процесс управления риском ликвидности выполняется на постоянной основе, обеспечивая органы управления ПАО «Газпром», руководителей и работников Общества актуальной информацией об уровне риска ликвидности, способах реагирования на риск ликвидности и мероприятиях по управлению риском ликвидности.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de-DE"/>
        </w:rPr>
        <w:t>2.2.7. Обучение и мотивация – необходимость прохождения работниками Общества, вовлеченными в процесс управления риском ликвидности, обучения современным стандартам и практикам управления риском ликвидности и применение мер мотивации, стимулирующих таких работников эффективно выполнять обязанности по управлению риском ликвидности.</w:t>
      </w:r>
    </w:p>
    <w:p w:rsidR="002049E4" w:rsidRDefault="00F35076">
      <w:pPr>
        <w:spacing w:before="120" w:after="120"/>
        <w:jc w:val="both"/>
        <w:outlineLvl w:val="0"/>
        <w:rPr>
          <w:rFonts w:ascii="Times New Roman" w:hAnsi="Times New Roman"/>
        </w:rPr>
      </w:pPr>
      <w:bookmarkStart w:id="24" w:name="_Toc175749007"/>
      <w:r>
        <w:rPr>
          <w:rFonts w:ascii="Times New Roman" w:eastAsiaTheme="majorEastAsia" w:hAnsi="Times New Roman"/>
          <w:b/>
          <w:bCs/>
          <w:sz w:val="28"/>
          <w:szCs w:val="32"/>
        </w:rPr>
        <w:t>2.3.</w:t>
      </w:r>
      <w:r>
        <w:rPr>
          <w:rFonts w:ascii="Times New Roman" w:eastAsiaTheme="majorEastAsia" w:hAnsi="Times New Roman"/>
          <w:b/>
          <w:bCs/>
          <w:sz w:val="28"/>
          <w:szCs w:val="32"/>
        </w:rPr>
        <w:tab/>
        <w:t>Участники управления риском ликвидности. Распределение полномочий</w:t>
      </w:r>
      <w:bookmarkEnd w:id="24"/>
    </w:p>
    <w:p w:rsidR="002049E4" w:rsidRDefault="00F35076">
      <w:pPr>
        <w:pStyle w:val="a"/>
        <w:numPr>
          <w:ilvl w:val="2"/>
          <w:numId w:val="8"/>
        </w:numPr>
        <w:ind w:left="0" w:firstLine="70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Перечень участников управления риском ликвидности, распределение функций и полномочий между участниками управления риском ликвидности Общества должны соответствовать требованиям Политики, Положения УФР и Положения по управлению риском ликвидности Группы Газпром.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Основными участниками процесса управления риском ликвидности Общества являются: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орган управления (Совет директоров/генеральный директор в соответствии с уставом Общества);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владелец риска ликвидности;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совладелец риска ликвидности;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- ПУРиВК Общества;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подразделение (работник) внутреннего аудита;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риск-координаторы по риску ликвидности.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Функции и полномочия органа управления Общества, подразделения (работника) внутреннего аудита в области управления рисками и внутреннего контроля определены локальными нормативными актами Общества в области управления рисками и внутреннего контроля.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2.3.2. Владельцем бизнес-процесса «Экономикой и финансами управление, код 31020»</w:t>
      </w:r>
      <w:r>
        <w:rPr>
          <w:rStyle w:val="aff2"/>
          <w:rFonts w:ascii="Times New Roman" w:eastAsia="Times New Roman" w:hAnsi="Times New Roman"/>
          <w:sz w:val="28"/>
          <w:szCs w:val="28"/>
        </w:rPr>
        <w:footnoteReference w:id="3"/>
      </w:r>
      <w:r>
        <w:rPr>
          <w:rFonts w:ascii="Times New Roman" w:eastAsia="Times New Roman" w:hAnsi="Times New Roman"/>
          <w:sz w:val="28"/>
          <w:szCs w:val="28"/>
        </w:rPr>
        <w:t xml:space="preserve"> и, как следствие, владельцем всех идентифицированных в рамках данного бизнес-процесса рисков, в том числе риска ликвидности в Обществе, является заместитель генерального директора по экономике и финансам.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2.3.3. Владелец риска ликвидности и риск-координатор по риску ликвидности выполняют следующие основные функции:</w:t>
      </w:r>
    </w:p>
    <w:p w:rsidR="002049E4" w:rsidRDefault="00F35076">
      <w:pPr>
        <w:pStyle w:val="affe"/>
        <w:tabs>
          <w:tab w:val="left" w:pos="992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разрабатывает и поддерживает в актуальном состоянии локальные нормативные акты Общества в области управления риском ликвидности;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проводит идентификацию и оценку риска ликвидности Общества;</w:t>
      </w:r>
    </w:p>
    <w:p w:rsidR="002049E4" w:rsidRDefault="00F35076">
      <w:pPr>
        <w:pStyle w:val="17"/>
        <w:shd w:val="clear" w:color="auto" w:fill="auto"/>
        <w:tabs>
          <w:tab w:val="left" w:pos="709"/>
          <w:tab w:val="left" w:pos="963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 разрабатывает </w:t>
      </w:r>
      <w:r>
        <w:t>(</w:t>
      </w:r>
      <w:r>
        <w:rPr>
          <w:sz w:val="28"/>
          <w:szCs w:val="28"/>
        </w:rPr>
        <w:t>на основании утвержденного Советом директоров ПАО «Газпром» предельно допустимого уровня риска ликвидности) предложения по допустимому уровню и предельно допустимому уровню риска ликвидности Общества, передает их на рассмотрение органу управления Общества и ПУРиВК МРГ;</w:t>
      </w:r>
    </w:p>
    <w:p w:rsidR="002049E4" w:rsidRDefault="00F35076">
      <w:pPr>
        <w:pStyle w:val="affe"/>
        <w:tabs>
          <w:tab w:val="left" w:pos="992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 разрабатывает (выбирает) способы реагирования на риск ликвидности, мероприятия по управлению риском ликвидности, представляет разработанные </w:t>
      </w:r>
      <w:r>
        <w:rPr>
          <w:rFonts w:ascii="Times New Roman" w:eastAsia="Times New Roman" w:hAnsi="Times New Roman"/>
          <w:spacing w:val="-6"/>
          <w:sz w:val="28"/>
          <w:szCs w:val="28"/>
        </w:rPr>
        <w:t>мероприятия на рассмотрение органу управления Общества и осуществляет их реализацию;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049E4" w:rsidRDefault="00F35076">
      <w:pPr>
        <w:pStyle w:val="affe"/>
        <w:tabs>
          <w:tab w:val="left" w:pos="992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проводит мониторинг риска ликвидности и выполнения мероприятий по управлению риском ликвидности;</w:t>
      </w:r>
    </w:p>
    <w:p w:rsidR="002049E4" w:rsidRDefault="00F35076">
      <w:pPr>
        <w:pStyle w:val="affe"/>
        <w:tabs>
          <w:tab w:val="left" w:pos="992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проводит мониторинг соблюдения Обществом требований внутренних документов в области управления риском ликвидности и эффективности управления риском ликвидности в Обществе;</w:t>
      </w:r>
    </w:p>
    <w:p w:rsidR="002049E4" w:rsidRDefault="00F35076">
      <w:pPr>
        <w:pStyle w:val="affe"/>
        <w:tabs>
          <w:tab w:val="left" w:pos="992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 подготавливает оперативную управленческую отчетность по риску ликвидности и корпоративную статистическую годовую и периодическую отчетность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по риску ликвидности в рамках компетенции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2049E4" w:rsidRDefault="00F35076">
      <w:pPr>
        <w:pStyle w:val="affe"/>
        <w:tabs>
          <w:tab w:val="left" w:pos="992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 проводит сбор и консолидацию оперативной управленческой отчетности по риску ликвидности Общества. </w:t>
      </w:r>
    </w:p>
    <w:p w:rsidR="002049E4" w:rsidRDefault="00F35076">
      <w:pPr>
        <w:pStyle w:val="affe"/>
        <w:tabs>
          <w:tab w:val="left" w:pos="992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Владелец риска ликвидности Общества передает консолидированную оперативную управленческую отчетность по риску ликвидности владельцу риска ликвидности МРГ. Владелец риска ликвидности МРГ передает консолидированную оперативную управленческую отчетность по риску ликвидности в Единое казначейство;</w:t>
      </w:r>
    </w:p>
    <w:p w:rsidR="002049E4" w:rsidRDefault="00F35076">
      <w:pPr>
        <w:pStyle w:val="affe"/>
        <w:tabs>
          <w:tab w:val="left" w:pos="992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представляет оперативную управленческую отчетность по риску ликвидности органам управления Общества;</w:t>
      </w:r>
    </w:p>
    <w:p w:rsidR="002049E4" w:rsidRDefault="00F35076">
      <w:pPr>
        <w:pStyle w:val="affe"/>
        <w:tabs>
          <w:tab w:val="left" w:pos="992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- подготавливает информацию по риску ликвидности для целей ее публичного раскрытия.</w:t>
      </w:r>
    </w:p>
    <w:p w:rsidR="002049E4" w:rsidRDefault="00F35076">
      <w:pPr>
        <w:pStyle w:val="affe"/>
        <w:tabs>
          <w:tab w:val="left" w:pos="992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2.3.4. Настоящее Положение уточняет следующие функции ПУРиВК Общества в процессе управления риском ликвидности:</w:t>
      </w:r>
    </w:p>
    <w:p w:rsidR="002049E4" w:rsidRDefault="00F35076">
      <w:pPr>
        <w:pStyle w:val="affe"/>
        <w:tabs>
          <w:tab w:val="left" w:pos="992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методологическая поддержка структурных подразделений Общества в области управления риском ликвидности и применимых процедур внутреннего контроля, включая проведение экспертизы и согласование применяемых в Обществе документов в области управления риском ликвидности;</w:t>
      </w:r>
    </w:p>
    <w:p w:rsidR="002049E4" w:rsidRDefault="00F35076">
      <w:pPr>
        <w:pStyle w:val="affe"/>
        <w:tabs>
          <w:tab w:val="left" w:pos="992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рассмотрение и анализ управленческой отчетности по риску ликвидности Общества;</w:t>
      </w:r>
    </w:p>
    <w:p w:rsidR="002049E4" w:rsidRDefault="00F35076">
      <w:pPr>
        <w:pStyle w:val="affe"/>
        <w:tabs>
          <w:tab w:val="left" w:pos="992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сбор, консолидация и анализ корпоративной статистической периодической и годовой отчетности структурных подразделений Общества, включающей в том числе отчетность по риску ликвидности;</w:t>
      </w:r>
    </w:p>
    <w:p w:rsidR="002049E4" w:rsidRDefault="00F35076">
      <w:pPr>
        <w:pStyle w:val="affe"/>
        <w:tabs>
          <w:tab w:val="left" w:pos="992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согласование информации по риску ликвидности для целей ее публичного раскрытия;</w:t>
      </w:r>
    </w:p>
    <w:p w:rsidR="002049E4" w:rsidRDefault="00F35076">
      <w:pPr>
        <w:pStyle w:val="affe"/>
        <w:tabs>
          <w:tab w:val="left" w:pos="992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участие в организации мероприятий по повышению квалификации работников Общества, осуществляющих функции управления риском ликвидности;</w:t>
      </w:r>
    </w:p>
    <w:p w:rsidR="002049E4" w:rsidRDefault="00F35076">
      <w:pPr>
        <w:pStyle w:val="affe"/>
        <w:tabs>
          <w:tab w:val="left" w:pos="992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 оценка эффективности управления риском ликвидности; </w:t>
      </w:r>
    </w:p>
    <w:p w:rsidR="002049E4" w:rsidRDefault="00F35076">
      <w:pPr>
        <w:pStyle w:val="affe"/>
        <w:tabs>
          <w:tab w:val="left" w:pos="992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разработка, внедрение, актуализация локальных нормативных актов по организации внутреннего контроля в Обществе, применимых к бизнес-процессам, являющимся источником возникновения риска ликвидности;</w:t>
      </w:r>
    </w:p>
    <w:p w:rsidR="002049E4" w:rsidRDefault="00F35076">
      <w:pPr>
        <w:pStyle w:val="affe"/>
        <w:tabs>
          <w:tab w:val="left" w:pos="992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мониторинг соблюдения локальных нормативных актов в области управления риском ликвидности структурными подразделениями Общества;</w:t>
      </w:r>
    </w:p>
    <w:p w:rsidR="002049E4" w:rsidRDefault="00F35076">
      <w:pPr>
        <w:pStyle w:val="affe"/>
        <w:tabs>
          <w:tab w:val="left" w:pos="992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выявление недостатков существующих контрольных процедур в бизнес- процессах, являющихся источником возникновения риска ликвидности, разработка рекомендаций структурным подразделениям Общества по их устранению и мониторинг их выполнения;</w:t>
      </w:r>
    </w:p>
    <w:p w:rsidR="002049E4" w:rsidRDefault="00F35076">
      <w:pPr>
        <w:pStyle w:val="affe"/>
        <w:tabs>
          <w:tab w:val="left" w:pos="992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вынесение на рассмотрение органа управления Общества вопросов функционирования процессов управления риском ликвидности и повышения эффективности бизнес-процессов, являющихся источником риска ликвидности, и контрольных процедур.</w:t>
      </w:r>
    </w:p>
    <w:p w:rsidR="002049E4" w:rsidRDefault="00F35076">
      <w:pPr>
        <w:pStyle w:val="affe"/>
        <w:tabs>
          <w:tab w:val="left" w:pos="992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2.3.5. Совладельцы риска ликвидности Общества выполняют функции по управлению риском ликвидности в пределах своей компетенции, определенной локальными нормативными актами Общества.</w:t>
      </w:r>
    </w:p>
    <w:p w:rsidR="002049E4" w:rsidRDefault="00F35076">
      <w:pPr>
        <w:pStyle w:val="affe"/>
        <w:tabs>
          <w:tab w:val="left" w:pos="992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2.3.6. При необходимости в связи с указаниями органа управления </w:t>
      </w:r>
      <w:r>
        <w:rPr>
          <w:rFonts w:ascii="Times New Roman" w:eastAsia="Times New Roman" w:hAnsi="Times New Roman"/>
          <w:sz w:val="28"/>
          <w:szCs w:val="28"/>
          <w:lang w:eastAsia="de-DE"/>
        </w:rPr>
        <w:t xml:space="preserve">Общества </w:t>
      </w:r>
      <w:r>
        <w:rPr>
          <w:rFonts w:ascii="Times New Roman" w:eastAsia="Times New Roman" w:hAnsi="Times New Roman"/>
          <w:sz w:val="28"/>
          <w:szCs w:val="28"/>
        </w:rPr>
        <w:t>или по запросу иных участников процесса управления риском ликвидности к процессу управления риском ликвидности могут быть привлечены структурные подразделения и должностные лица Общества, не указанные в пункте 2.3.1 настоящего Положения, в пределах задач и функций, определенных локальными нормативными актами Общества.</w:t>
      </w:r>
    </w:p>
    <w:p w:rsidR="002049E4" w:rsidRDefault="00F35076">
      <w:pPr>
        <w:pStyle w:val="1"/>
        <w:numPr>
          <w:ilvl w:val="0"/>
          <w:numId w:val="8"/>
        </w:numPr>
        <w:spacing w:before="240" w:after="120" w:line="240" w:lineRule="auto"/>
        <w:ind w:left="0" w:firstLine="709"/>
        <w:jc w:val="both"/>
        <w:rPr>
          <w:rFonts w:ascii="Times New Roman" w:hAnsi="Times New Roman"/>
        </w:rPr>
      </w:pPr>
      <w:bookmarkStart w:id="25" w:name="_Toc963913"/>
      <w:bookmarkStart w:id="26" w:name="_Toc175749008"/>
      <w:r>
        <w:rPr>
          <w:rFonts w:ascii="Times New Roman" w:eastAsia="Times New Roman" w:hAnsi="Times New Roman"/>
        </w:rPr>
        <w:lastRenderedPageBreak/>
        <w:t xml:space="preserve">Компоненты управления </w:t>
      </w:r>
      <w:bookmarkEnd w:id="25"/>
      <w:r>
        <w:rPr>
          <w:rFonts w:ascii="Times New Roman" w:eastAsia="Times New Roman" w:hAnsi="Times New Roman"/>
        </w:rPr>
        <w:t>риском ликвидности</w:t>
      </w:r>
      <w:bookmarkEnd w:id="26"/>
    </w:p>
    <w:p w:rsidR="002049E4" w:rsidRDefault="00F35076">
      <w:pPr>
        <w:pStyle w:val="2"/>
        <w:numPr>
          <w:ilvl w:val="1"/>
          <w:numId w:val="8"/>
        </w:numPr>
        <w:spacing w:before="120"/>
        <w:ind w:left="0" w:firstLine="709"/>
        <w:jc w:val="both"/>
        <w:rPr>
          <w:rFonts w:ascii="Times New Roman" w:hAnsi="Times New Roman"/>
        </w:rPr>
      </w:pPr>
      <w:bookmarkStart w:id="27" w:name="_Toc963916"/>
      <w:bookmarkStart w:id="28" w:name="_Toc175749009"/>
      <w:r>
        <w:rPr>
          <w:rFonts w:ascii="Times New Roman" w:eastAsia="Times New Roman" w:hAnsi="Times New Roman"/>
        </w:rPr>
        <w:t>Идентификация риск</w:t>
      </w:r>
      <w:bookmarkEnd w:id="27"/>
      <w:r>
        <w:rPr>
          <w:rFonts w:ascii="Times New Roman" w:eastAsia="Times New Roman" w:hAnsi="Times New Roman"/>
        </w:rPr>
        <w:t>а ликвидности</w:t>
      </w:r>
      <w:bookmarkEnd w:id="28"/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положения в части идентификации риска ликвидности соответствуют положениям Политики.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Настоящее Положение уточняет следующие особенности: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bookmarkStart w:id="29" w:name="_Toc963917"/>
      <w:r>
        <w:rPr>
          <w:rFonts w:ascii="Times New Roman" w:eastAsia="Times New Roman" w:hAnsi="Times New Roman"/>
          <w:szCs w:val="28"/>
          <w:lang w:eastAsia="de-DE"/>
        </w:rPr>
        <w:t>3.1.1. </w:t>
      </w:r>
      <w:r>
        <w:rPr>
          <w:rFonts w:ascii="Times New Roman" w:eastAsia="Times New Roman" w:hAnsi="Times New Roman"/>
          <w:szCs w:val="28"/>
        </w:rPr>
        <w:t>Идентификация риска ликвидности в Обществе проводится на этапе первичной идентификации рисков.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3.1.2.</w:t>
      </w:r>
      <w:r>
        <w:rPr>
          <w:rFonts w:ascii="Times New Roman" w:eastAsia="Times New Roman" w:hAnsi="Times New Roman"/>
          <w:szCs w:val="28"/>
          <w:lang w:eastAsia="de-DE"/>
        </w:rPr>
        <w:t> </w:t>
      </w:r>
      <w:r>
        <w:rPr>
          <w:rFonts w:ascii="Times New Roman" w:eastAsia="Times New Roman" w:hAnsi="Times New Roman"/>
          <w:szCs w:val="28"/>
        </w:rPr>
        <w:t>Факторы риска ликвидности по сфере возникновения могут быть внешними и/или внутренними.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3.1.3.</w:t>
      </w:r>
      <w:r>
        <w:rPr>
          <w:rFonts w:ascii="Times New Roman" w:eastAsia="Times New Roman" w:hAnsi="Times New Roman"/>
          <w:szCs w:val="28"/>
          <w:lang w:eastAsia="de-DE"/>
        </w:rPr>
        <w:t> </w:t>
      </w:r>
      <w:r>
        <w:rPr>
          <w:rFonts w:ascii="Times New Roman" w:eastAsia="Times New Roman" w:hAnsi="Times New Roman"/>
          <w:szCs w:val="28"/>
        </w:rPr>
        <w:t xml:space="preserve">Внешние факторы риска ликвидности обуславливаются окружающей средой, действиями сторонних физических и/или юридических лиц, контрагентов, а также действиями органов государственной власти, </w:t>
      </w:r>
      <w:r>
        <w:rPr>
          <w:rFonts w:ascii="Times New Roman" w:eastAsia="Times New Roman" w:hAnsi="Times New Roman"/>
        </w:rPr>
        <w:t>местного самоуправления,</w:t>
      </w:r>
      <w:r>
        <w:rPr>
          <w:rFonts w:ascii="Times New Roman" w:eastAsia="Times New Roman" w:hAnsi="Times New Roman"/>
          <w:szCs w:val="28"/>
        </w:rPr>
        <w:t xml:space="preserve"> осуществляющих нормативное правовое регулирование и надзорно-контрольные функции.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3.1.4.</w:t>
      </w:r>
      <w:r>
        <w:rPr>
          <w:rFonts w:ascii="Times New Roman" w:eastAsia="Times New Roman" w:hAnsi="Times New Roman"/>
          <w:szCs w:val="28"/>
          <w:lang w:eastAsia="de-DE"/>
        </w:rPr>
        <w:t> </w:t>
      </w:r>
      <w:r>
        <w:rPr>
          <w:rFonts w:ascii="Times New Roman" w:eastAsia="Times New Roman" w:hAnsi="Times New Roman"/>
          <w:szCs w:val="28"/>
        </w:rPr>
        <w:t>К внешним факторам риска ликвидности относятся в том числе: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случаи реализации рисков, определяющие волатильность денежных потоков и рыночную стоимость активов и обязательств (пассивов) Общества (правовых, рыночных, финансовых и иных);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случаи реализации отраслевых, страновых и региональных рисков, влияющих на доступность источников привлечения денежных средств.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3.1.5.</w:t>
      </w:r>
      <w:r>
        <w:rPr>
          <w:rFonts w:ascii="Times New Roman" w:eastAsia="Times New Roman" w:hAnsi="Times New Roman"/>
          <w:szCs w:val="28"/>
          <w:lang w:eastAsia="de-DE"/>
        </w:rPr>
        <w:t> </w:t>
      </w:r>
      <w:r>
        <w:rPr>
          <w:rFonts w:ascii="Times New Roman" w:eastAsia="Times New Roman" w:hAnsi="Times New Roman"/>
          <w:szCs w:val="28"/>
        </w:rPr>
        <w:t>Внутренние факторы риска ликвидности обуславливаются внутренней средой, действиями работников и бизнес-процессами Общества.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3.1.6.</w:t>
      </w:r>
      <w:r>
        <w:rPr>
          <w:rFonts w:ascii="Times New Roman" w:eastAsia="Times New Roman" w:hAnsi="Times New Roman"/>
          <w:szCs w:val="28"/>
          <w:lang w:eastAsia="de-DE"/>
        </w:rPr>
        <w:t> </w:t>
      </w:r>
      <w:r>
        <w:rPr>
          <w:rFonts w:ascii="Times New Roman" w:eastAsia="Times New Roman" w:hAnsi="Times New Roman"/>
          <w:szCs w:val="28"/>
        </w:rPr>
        <w:t>При идентификации риска ликвидности выделяются прямые и косвенные потери вследствие реализации риска ликвидности.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3.1.7.</w:t>
      </w:r>
      <w:r>
        <w:rPr>
          <w:rFonts w:ascii="Times New Roman" w:eastAsia="Times New Roman" w:hAnsi="Times New Roman"/>
          <w:szCs w:val="28"/>
          <w:lang w:eastAsia="de-DE"/>
        </w:rPr>
        <w:t> </w:t>
      </w:r>
      <w:r>
        <w:rPr>
          <w:rFonts w:ascii="Times New Roman" w:eastAsia="Times New Roman" w:hAnsi="Times New Roman"/>
          <w:szCs w:val="28"/>
        </w:rPr>
        <w:t>К прямым потерям вследствие реализации риска ликвидности относятся: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денежные выплаты по процентам в случае срочного привлечения заемных средств для предотвращения кассовых разрывов;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денежные выплаты на основании постановлений (решений) судов, предписаний (решений) органов исполнительной власти, уполномоченных в соответствии с законодательством;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денежные выплаты контрагентам, работникам и иным лицам в целях компенсации им во внесудебном порядке понесенных убытков, обусловленных неспособностью Общества выполнить своевременно и в полном объеме свои финансовые обязательства;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недополученные запланированные доходы;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иные затраты, связанные с устранением последствий реализации риска ликвидности.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3.1.8. К косвенным потерям вследствие реализации риска ликвидности относится ущерб деловой репутации Общества.</w:t>
      </w:r>
    </w:p>
    <w:p w:rsidR="002049E4" w:rsidRDefault="00F35076">
      <w:pPr>
        <w:pStyle w:val="2"/>
        <w:numPr>
          <w:ilvl w:val="1"/>
          <w:numId w:val="8"/>
        </w:numPr>
        <w:tabs>
          <w:tab w:val="clear" w:pos="1219"/>
          <w:tab w:val="left" w:pos="709"/>
        </w:tabs>
        <w:spacing w:before="120"/>
        <w:ind w:left="0" w:firstLine="709"/>
        <w:jc w:val="both"/>
        <w:rPr>
          <w:rFonts w:ascii="Times New Roman" w:hAnsi="Times New Roman"/>
        </w:rPr>
      </w:pPr>
      <w:bookmarkStart w:id="30" w:name="_Toc175749010"/>
      <w:r>
        <w:rPr>
          <w:rFonts w:ascii="Times New Roman" w:eastAsia="Times New Roman" w:hAnsi="Times New Roman"/>
        </w:rPr>
        <w:t>Оценка риск</w:t>
      </w:r>
      <w:bookmarkEnd w:id="29"/>
      <w:r>
        <w:rPr>
          <w:rFonts w:ascii="Times New Roman" w:eastAsia="Times New Roman" w:hAnsi="Times New Roman"/>
        </w:rPr>
        <w:t>а ликвидности</w:t>
      </w:r>
      <w:bookmarkEnd w:id="30"/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Основные положения в части оценки риска ликвидности соответствуют положениям Политики.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Настоящее Положение уточняет следующие особенности: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bookmarkStart w:id="31" w:name="_Toc963918"/>
      <w:r>
        <w:rPr>
          <w:rFonts w:ascii="Times New Roman" w:eastAsia="Times New Roman" w:hAnsi="Times New Roman"/>
          <w:szCs w:val="28"/>
        </w:rPr>
        <w:t>3.2.1. Оценка риска ликвидности проводится владельцем риска ликвидности, в том числе на основе методов качественной и количественной оценки.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3.2.2. Методы качественной оценки заключаются в экспертной оценке показателей, характеризующих вероятность реализации риска ликвидности, финансовые и нефинансовые последствия реализации риска ликвидности, а также влияние случаев реализации риска ликвидности на цели и задачи Общества.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3.2.3. </w:t>
      </w:r>
      <w:r>
        <w:rPr>
          <w:rFonts w:ascii="Times New Roman" w:eastAsia="Times New Roman" w:hAnsi="Times New Roman"/>
          <w:szCs w:val="28"/>
        </w:rPr>
        <w:tab/>
        <w:t>Методы качественной оценки для целей оценки риска ликвидности, как правило, применяются на начальном этапе внедрения формализованного управления риском ликвидности в Обществе, а также в случаях, когда применение количественных методов оценки невозможно при наличии соответствующего обоснования.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3.2.4. Для целей количественной оценки риска ликвидности применяют следующие методы: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метод коэффициентного анализа (расчет коэффициентов ликвидности);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метод анализа разрыва в сроках погашения требований и обязательств (пассивов) (анализ сбалансированности по срокам финансовых активов и финансовых обязательств (пассивов), связанных с осуществлением деятельности Общества на различных временных интервалах);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прогнозирование денежных потоков и ликвидности;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CFaR-методы и иные VaR-методы;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сценарный анализ и Стресс-тестирование.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3.2.5. Коэффициентный анализ включает следующие этапы: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ежедневный расчет значений коэффициента мгновенной ликвидности;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периодический (не реже одного раза в квартал) расчет значений коэффициентов текущей и долгосрочной ликвидности;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анализ динамики значений коэффициентов ликвидности;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идентификация основных факторов риска ликвидности, определяющих динамику значений коэффициентов ликвидности.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 xml:space="preserve">3.2.6. Метод анализа разрыва в сроках погашения требований и обязательств (пассивов) предполагает проведение следующих этапов: 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суммирование активов и обязательств (пассивов) Общества по временным интервалам;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 xml:space="preserve">- расчет разрыва ликвидности по временным интервалам; 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расчет кумулятивного разрыва ликвидности.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3.2.7. Прогнозирование денежных потоков и ликвидности осуществляется на основании платежных календарей.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3.2.8. Прогнозирование денежных потоков и ликвидности на основании платежных календарей включает в себя следующие основные этапы: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формирование платежных календарей Обществом с целью последующего анализа, а также представления лидеру кэш-пула для консолидации платежных календарей на уровне Общества – лидера кэш-пула;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регулярная актуализация платежных календарей;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lastRenderedPageBreak/>
        <w:t>- анализ платежных календарей на предмет выявления потенциальных кассовых разрывов.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3.2.9. CFaR-методы позволяют определить максимальную величину возможного снижения денежных потоков по отношению к плановой величине денежных потоков в результате воздействия факторов риска ликвидности в течение определенного периода времени с определенной доверительной вероятностью.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3.2.10. При оценке риска ликвидности могут применяться иные</w:t>
      </w:r>
      <w:r>
        <w:rPr>
          <w:rFonts w:ascii="Times New Roman" w:eastAsia="Times New Roman" w:hAnsi="Times New Roman"/>
          <w:szCs w:val="28"/>
        </w:rPr>
        <w:br/>
        <w:t>VaR-методы.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3.2.11. Сценарный анализ является инструментом количественной оценки риска ликвидности, позволяющим моделировать различные ситуации, реализация которых может повлечь за собой значимые негативные последствия или создать благоприятные возможности для Общества, с учетом экспертного мнения (далее – сценарии).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3.2.11.1. При разработке сценариев могут использоваться внешние и внутренние источники данных, в том числе мотивированное мнение эксперта.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3.2.11.2. Стресс-тестирование является одним из вариантов применения сценарного анализа для оценки риска ликвидности, предусматривающим оценку риска ликвидности на основе сценариев, связанных с реализацией редких, по мнению экспертов, но возможных событий, сопровождающихся экстремальными воздействиями факторов риска ликвидности (далее – стресс-сценарии) и приводящих к значительным последствиям для Общества.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3.2.11.3. Стресс-сценарии могут быть: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историческими, в основе которых лежат события, которые произошли в прошлом и привели к реализации одного или нескольких рисков, включая риск ликвидности;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гипотетическими, представляющими собой моделирование событий, которые не имели место в прошлом, но могут привести к реализации одного или нескольких рисков, включая риск ликвидности.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3.2.11.4. Порядок проведения стресс-тестирования устанавливается в локальных нормативных актах и внутренних распорядительных документах МРГ и Общества, разработанных на основании локальных нормативных актах ПАО «Газпром».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Локальные нормативные акты и внутренние распорядительные документы Общества определяют: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типы стресс-тестирования и основные задачи, решаемые в процессе стресс-тестирования;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периодичность проведения стресс-тестирования в зависимости от типов стресс-тестирования;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рекомендации по выбору стресс-сценариев, принятые ограничения и допущения;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</w:t>
      </w:r>
      <w:r>
        <w:rPr>
          <w:rFonts w:ascii="Times New Roman" w:eastAsia="Times New Roman" w:hAnsi="Times New Roman"/>
          <w:szCs w:val="28"/>
          <w:lang w:eastAsia="de-DE"/>
        </w:rPr>
        <w:t> </w:t>
      </w:r>
      <w:r>
        <w:rPr>
          <w:rFonts w:ascii="Times New Roman" w:eastAsia="Times New Roman" w:hAnsi="Times New Roman"/>
          <w:szCs w:val="28"/>
        </w:rPr>
        <w:t>рекомендации по использованию результатов стресс-тестирования при управлении риском ликвидности.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3.2.11.5. Стресс-тестирование по риску ликвидности должно проводиться владельцами риска ликвидности не реже одного раза в год.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lastRenderedPageBreak/>
        <w:t>3.2.11.6. Результаты стресс-тестирования могут применяться при разработке предложений по допустимому уровню и предельно допустимому уровню риска ликвидности и разработке плана восстановления финансовой устойчивости Общества.</w:t>
      </w:r>
    </w:p>
    <w:p w:rsidR="002049E4" w:rsidRDefault="00F35076">
      <w:pPr>
        <w:pStyle w:val="2"/>
        <w:numPr>
          <w:ilvl w:val="1"/>
          <w:numId w:val="8"/>
        </w:numPr>
        <w:spacing w:before="120"/>
        <w:ind w:left="0" w:firstLine="709"/>
        <w:jc w:val="both"/>
        <w:rPr>
          <w:rFonts w:ascii="Times New Roman" w:hAnsi="Times New Roman"/>
        </w:rPr>
      </w:pPr>
      <w:bookmarkStart w:id="32" w:name="_Toc175749011"/>
      <w:r>
        <w:rPr>
          <w:rFonts w:ascii="Times New Roman" w:eastAsia="Times New Roman" w:hAnsi="Times New Roman"/>
        </w:rPr>
        <w:t xml:space="preserve">Реагирование на </w:t>
      </w:r>
      <w:bookmarkEnd w:id="31"/>
      <w:r>
        <w:rPr>
          <w:rFonts w:ascii="Times New Roman" w:eastAsia="Times New Roman" w:hAnsi="Times New Roman"/>
        </w:rPr>
        <w:t>риск ликвидности. Мероприятия по управлению риском ликвидности</w:t>
      </w:r>
      <w:bookmarkEnd w:id="32"/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положения в части реагирования на риск ликвидности, а также в части разработки и реализации мероприятий по управлению риском ликвидности соответствуют положениям Политики.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Настоящее Положение уточняет следующее: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bookmarkStart w:id="33" w:name="_Toc963919"/>
      <w:r>
        <w:rPr>
          <w:rFonts w:ascii="Times New Roman" w:eastAsia="Times New Roman" w:hAnsi="Times New Roman"/>
          <w:szCs w:val="28"/>
        </w:rPr>
        <w:t>3.3.1. Реагирование на риск ликвидности представляет собой процесс выбора и применения стратегии (способа) реагирования на риск ликвидности.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3.3.2. </w:t>
      </w:r>
      <w:r>
        <w:rPr>
          <w:rFonts w:ascii="Times New Roman" w:eastAsia="Times New Roman" w:hAnsi="Times New Roman"/>
          <w:szCs w:val="28"/>
        </w:rPr>
        <w:tab/>
        <w:t>Мероприятия по управлению риском ликвидности разрабатываются с учетом принятого способа реагирования и применяются с целью уменьшения вероятности реализации неблагоприятных событий и негативных последствий, по мнению экспертов, или получения финансового возмещения при возникновении финансовых потерь Общества, связанных с реализацией риска ликвидности.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3.3.3. К основным мероприятиям по управлению риском ликвидности относятся: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введение лимитов на риск ликвидности;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создание буфера ликвидности;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консолидация денежных средств на мастер-счете лидера кэш-пула и внутригрупповое финансирование;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привлечение долгосрочного и краткосрочного кредитования;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размещение временно свободных денежных средств;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досрочное истребование размещенных денежных средств;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проведение валютно-обменных операций;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реструктуризация финансовых активов и обязательств (пассивов);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изменение условий по договорам Общества;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pacing w:val="-4"/>
          <w:szCs w:val="28"/>
        </w:rPr>
        <w:t>- иные мероприятия, предусмотренные действующим законодательством,</w:t>
      </w:r>
      <w:r>
        <w:rPr>
          <w:rFonts w:ascii="Times New Roman" w:eastAsia="Times New Roman" w:hAnsi="Times New Roman"/>
          <w:szCs w:val="28"/>
        </w:rPr>
        <w:t xml:space="preserve"> локальными нормативными актами и внутренними распорядительными документами </w:t>
      </w:r>
      <w:r>
        <w:rPr>
          <w:rFonts w:ascii="Times New Roman" w:eastAsia="Times New Roman" w:hAnsi="Times New Roman"/>
          <w:spacing w:val="-6"/>
        </w:rPr>
        <w:t>ПАО «Газпром» и разрабатываемыми на их основе нормативными документами МРГ и</w:t>
      </w:r>
      <w:r>
        <w:rPr>
          <w:rFonts w:ascii="Times New Roman" w:eastAsia="Times New Roman" w:hAnsi="Times New Roman"/>
          <w:szCs w:val="28"/>
        </w:rPr>
        <w:t xml:space="preserve"> Общества.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3.3.4. Порядок разработки, согласования и реализации мероприятий по управлению риском ликвидности, в том числе взаимодействия работников Общества, принимающих участие в управления риском ликвидности в Обществе, регламентируется локальными нормативными актами и внутренними распорядительными документами Общества.</w:t>
      </w:r>
    </w:p>
    <w:p w:rsidR="002049E4" w:rsidRDefault="00F35076">
      <w:pPr>
        <w:pStyle w:val="aff9"/>
        <w:rPr>
          <w:rFonts w:ascii="Times New Roman" w:hAnsi="Times New Roman"/>
          <w:spacing w:val="-6"/>
          <w:szCs w:val="28"/>
        </w:rPr>
      </w:pPr>
      <w:r>
        <w:rPr>
          <w:rFonts w:ascii="Times New Roman" w:eastAsia="Times New Roman" w:hAnsi="Times New Roman"/>
          <w:spacing w:val="-6"/>
          <w:szCs w:val="28"/>
        </w:rPr>
        <w:t>3.3.5. Лимиты на риск ликвидности Общества, а также подходы к распределению лимитов на риск ликвидности в Группе Газпром межрегионгаз разрабатываются Единым казначейством.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3.3.6. </w:t>
      </w:r>
      <w:r>
        <w:rPr>
          <w:rFonts w:ascii="Times New Roman" w:eastAsia="Times New Roman" w:hAnsi="Times New Roman"/>
          <w:szCs w:val="28"/>
        </w:rPr>
        <w:tab/>
        <w:t xml:space="preserve">Локальные нормативные акты и внутренние распорядительные документы Общества могут предусматривать применение объединенных </w:t>
      </w:r>
      <w:r>
        <w:rPr>
          <w:rFonts w:ascii="Times New Roman" w:eastAsia="Times New Roman" w:hAnsi="Times New Roman"/>
          <w:szCs w:val="28"/>
        </w:rPr>
        <w:lastRenderedPageBreak/>
        <w:t>(совмещенных) лимитов на группы финансовых и рыночных рисков, применимых в том числе к управлению риском ликвидности.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3.3.7. </w:t>
      </w:r>
      <w:r>
        <w:rPr>
          <w:rFonts w:ascii="Times New Roman" w:eastAsia="Times New Roman" w:hAnsi="Times New Roman"/>
          <w:szCs w:val="28"/>
        </w:rPr>
        <w:tab/>
        <w:t>В качестве дополнительной системы ограничения и мониторинга уровня риска ликвидности Единое казначейство разрабатывает предложения по определению КИР по риску ликвидности, позволяющих осуществлять оперативное управление риском ликвидности.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3.3.8. Владелец риска ликвидности Общества в целях минимизации негативных последствий реализации риска ликвидности разрабатывает на календарный год план восстановления финансовой устойчивости Общества.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3.3.9. План восстановления финансовой устойчивости Общества подлежит рассмотрению и утверждению единоличным исполнительным органом Общества.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3.3.10. Порядок разработки, согласования и утверждения планов восстановления финансовой устойчивости Общества регламентируется локальным нормативным актом Общества с учетом требований, разрабатываемых МРГ и Единым казначейством.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3.3.11. Планы восстановления финансовой устойчивости Общества подлежат пересмотру ежегодно, а также при необходимости по инициативе участников процесса управления риском ликвидности Общества.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pacing w:val="-4"/>
          <w:szCs w:val="28"/>
        </w:rPr>
        <w:t xml:space="preserve">3.3.12. Проект плана восстановления финансовой устойчивости </w:t>
      </w:r>
      <w:r>
        <w:rPr>
          <w:rFonts w:ascii="Times New Roman" w:eastAsia="Times New Roman" w:hAnsi="Times New Roman"/>
          <w:szCs w:val="28"/>
        </w:rPr>
        <w:t>Общества включает в себя следующую информацию: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перечень возможных событий (сценариев), требующих реализации плана восстановления финансовой устойчивости Общества (в том числе превышение предельно допустимого уровня риска ликвидности и/или пороговых значений ключевых индикаторов риска ликвидности, случаи реализации других рисков, влияющих на ликвидность);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порядок взаимодействия участников процесса управления риском ликвидности;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порядок и периодичность информирования руководства Общества;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порядок взаимодействия с третьими лицами в рамках реализации плана восстановления финансовой устойчивости Общества (в том числе с органами государственной власти, органами местного самоуправления, банками и другими финансово-кредитными институтами, контрагентами);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перечень мероприятий по управлению риском ликвидности в зависимости от сценариев, требующих реализации плана восстановления финансовой устойчивости Общества, с указанием участников процесса управления риском ликвидности и привлекаемых третьих лиц;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рекомендации по информационному сопровождению выполнения плана восстановления финансовой устойчивости Общества, в том числе для целей внешнего раскрытия информации;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перечень и пороговые значения ключевых индикаторов риска ликвидности, свидетельствующих о восстановлении финансовой устойчивости Общества;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рекомендации по принятию решения о завершении реализации плана восстановления финансовой устойчивости Общества.</w:t>
      </w:r>
    </w:p>
    <w:p w:rsidR="002049E4" w:rsidRDefault="00F35076">
      <w:pPr>
        <w:pStyle w:val="2"/>
        <w:numPr>
          <w:ilvl w:val="1"/>
          <w:numId w:val="8"/>
        </w:numPr>
        <w:spacing w:after="240"/>
        <w:ind w:left="0" w:firstLine="709"/>
        <w:jc w:val="both"/>
        <w:rPr>
          <w:rFonts w:ascii="Times New Roman" w:hAnsi="Times New Roman"/>
        </w:rPr>
      </w:pPr>
      <w:bookmarkStart w:id="34" w:name="_Toc963921"/>
      <w:bookmarkStart w:id="35" w:name="_Toc175749012"/>
      <w:bookmarkEnd w:id="33"/>
      <w:r>
        <w:rPr>
          <w:rFonts w:ascii="Times New Roman" w:eastAsia="Times New Roman" w:hAnsi="Times New Roman"/>
        </w:rPr>
        <w:lastRenderedPageBreak/>
        <w:t xml:space="preserve">Мониторинг риска ликвидности и выполнения мероприятий </w:t>
      </w:r>
      <w:r>
        <w:rPr>
          <w:rFonts w:ascii="Times New Roman" w:eastAsia="Times New Roman" w:hAnsi="Times New Roman"/>
        </w:rPr>
        <w:br/>
        <w:t xml:space="preserve">по управлению </w:t>
      </w:r>
      <w:bookmarkEnd w:id="34"/>
      <w:r>
        <w:rPr>
          <w:rFonts w:ascii="Times New Roman" w:eastAsia="Times New Roman" w:hAnsi="Times New Roman"/>
        </w:rPr>
        <w:t>риском ликвидности</w:t>
      </w:r>
      <w:bookmarkEnd w:id="35"/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положения в части мониторинга риска и выполнения мероприятий по управлению риском ликвидности соответствуют положениям Политики.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Настоящее Положение уточняет следующие особенности: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3.4.1. Мониторинг риска ликвидности и выполнения мероприятий по </w:t>
      </w:r>
      <w:r>
        <w:rPr>
          <w:rFonts w:eastAsia="Times New Roman"/>
          <w:spacing w:val="-4"/>
          <w:sz w:val="28"/>
          <w:szCs w:val="28"/>
        </w:rPr>
        <w:t xml:space="preserve">управлению риском ликвидности осуществляется владельцем риска ликвидности Общества </w:t>
      </w:r>
      <w:r>
        <w:rPr>
          <w:rFonts w:eastAsia="Times New Roman"/>
          <w:sz w:val="28"/>
          <w:szCs w:val="28"/>
        </w:rPr>
        <w:t>и другими участниками процесса управления риском ликвидности (в рамках имеющихся компетенций) на регулярной основе в целях своевременного выявления изменений уровня риска ликвидности, разработки и реализации мероприятий по управлению риском ликвидности.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3.4.2. </w:t>
      </w:r>
      <w:r>
        <w:rPr>
          <w:rFonts w:eastAsia="Times New Roman"/>
          <w:sz w:val="28"/>
          <w:szCs w:val="28"/>
        </w:rPr>
        <w:tab/>
        <w:t>В рамках мониторинга риска ликвидности и выполнения мероприятий по управлению риском ликвидности владелец риска ликвидности Общества: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 проводит мониторинг и оценку (переоценку) риска ликвидности с применением методов оценки, в том числе на предмет соответствия предельно допустимому уровню риска ликвидности, с периодичностью, определенной в локальных нормативных актах и внутренних распорядительных документах Общества;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 проводит мониторинг возможности использования Обществом различных источников привлечения денежных средств;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 проводит мониторинг соблюдения лимитов на риск ликвидности и значений КИР по риску ликвидности;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 проводит мониторинг платежной дисциплины и движения денежных средств.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3.4.3. Владелец риска ликвидности Общества при достижении предельных значений КИР по риску ликвидности и/или реализации риска ликвидности: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 информирует совладельца риска ликвидности;</w:t>
      </w:r>
    </w:p>
    <w:p w:rsidR="002049E4" w:rsidRDefault="00F35076">
      <w:pPr>
        <w:pStyle w:val="ConsPlusNormal"/>
        <w:ind w:firstLine="709"/>
        <w:jc w:val="both"/>
        <w:rPr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>- в случаях, предусмотренных локальными нормативными актами и внутренними распорядительными документами Общества</w:t>
      </w:r>
      <w:r>
        <w:rPr>
          <w:rFonts w:eastAsia="Times New Roman"/>
          <w:spacing w:val="-4"/>
          <w:sz w:val="28"/>
          <w:szCs w:val="28"/>
        </w:rPr>
        <w:t> – уведомляет орган управления Общества;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 разрабатывает предложения о порядке выполнения мероприятий по управлению риском ликвидности, в том числе предусмотренных планом восстановления финансовой устойчивости Общества, и представляет их на утверждение </w:t>
      </w:r>
      <w:r>
        <w:rPr>
          <w:rFonts w:eastAsia="Times New Roman"/>
          <w:spacing w:val="-4"/>
          <w:sz w:val="28"/>
          <w:szCs w:val="28"/>
        </w:rPr>
        <w:t xml:space="preserve">органу управления </w:t>
      </w:r>
      <w:r>
        <w:rPr>
          <w:rFonts w:eastAsia="Times New Roman"/>
          <w:sz w:val="28"/>
          <w:szCs w:val="28"/>
        </w:rPr>
        <w:t>Общества;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 организует выполнение мероприятий по управлению риском ликвидности и мероприятий по смягчению последствий реализации риска ликвидности;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noBreakHyphen/>
        <w:t> представляет на рассмотрение органу управления Общества отчет о ходе и резу</w:t>
      </w:r>
      <w:r>
        <w:rPr>
          <w:rFonts w:eastAsia="Times New Roman"/>
          <w:spacing w:val="-4"/>
          <w:sz w:val="28"/>
          <w:szCs w:val="28"/>
        </w:rPr>
        <w:t xml:space="preserve">льтатах выполнения плана восстановления финансовой устойчивости </w:t>
      </w:r>
      <w:r>
        <w:rPr>
          <w:rFonts w:eastAsia="Times New Roman"/>
          <w:sz w:val="28"/>
          <w:szCs w:val="28"/>
        </w:rPr>
        <w:t>Общества</w:t>
      </w:r>
      <w:r>
        <w:rPr>
          <w:rFonts w:eastAsia="Times New Roman"/>
          <w:spacing w:val="-4"/>
          <w:sz w:val="28"/>
          <w:szCs w:val="28"/>
        </w:rPr>
        <w:t>.</w:t>
      </w:r>
    </w:p>
    <w:p w:rsidR="002049E4" w:rsidRDefault="00F35076">
      <w:pPr>
        <w:pStyle w:val="2"/>
        <w:numPr>
          <w:ilvl w:val="1"/>
          <w:numId w:val="8"/>
        </w:numPr>
        <w:ind w:left="0" w:firstLine="709"/>
        <w:jc w:val="both"/>
        <w:rPr>
          <w:rFonts w:ascii="Times New Roman" w:hAnsi="Times New Roman"/>
        </w:rPr>
      </w:pPr>
      <w:bookmarkStart w:id="36" w:name="_Toc963922"/>
      <w:bookmarkStart w:id="37" w:name="_Toc175749013"/>
      <w:r>
        <w:rPr>
          <w:rFonts w:ascii="Times New Roman" w:eastAsia="Times New Roman" w:hAnsi="Times New Roman"/>
        </w:rPr>
        <w:lastRenderedPageBreak/>
        <w:t xml:space="preserve">Отчетность и обмен информацией в рамках управления </w:t>
      </w:r>
      <w:bookmarkEnd w:id="36"/>
      <w:r>
        <w:rPr>
          <w:rFonts w:ascii="Times New Roman" w:eastAsia="Times New Roman" w:hAnsi="Times New Roman"/>
        </w:rPr>
        <w:t>риском ликвидности</w:t>
      </w:r>
      <w:bookmarkEnd w:id="37"/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положения в части отчетности и обмена информацией внутреннего контроля соответствуют положениям Политики.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Настоящее Положение уточняет следующие особенности:</w:t>
      </w:r>
    </w:p>
    <w:p w:rsidR="002049E4" w:rsidRDefault="00F35076">
      <w:pPr>
        <w:pStyle w:val="ConsPlusNormal"/>
        <w:ind w:firstLine="709"/>
        <w:jc w:val="both"/>
        <w:rPr>
          <w:spacing w:val="-8"/>
          <w:sz w:val="28"/>
          <w:szCs w:val="28"/>
        </w:rPr>
      </w:pPr>
      <w:bookmarkStart w:id="38" w:name="_Toc963923"/>
      <w:r>
        <w:rPr>
          <w:rFonts w:eastAsia="Times New Roman"/>
          <w:spacing w:val="-8"/>
          <w:sz w:val="28"/>
          <w:szCs w:val="28"/>
        </w:rPr>
        <w:t>3.5.1. Задачей обмена информацией по риску ликвидности является получение органом управления Общества и другими участниками процесса управления риском ликвидности, принимающими участие в управлении риском ликвидности в рамках утвержденного в Обществе  распределения полномочий и обязанностей, своевременной и систематизированной информации о риске ликвидности, его факторах, результатах оценки уровня риска ликвидности и его динамике, принятых способах реагирования, составе и эффективности мероприятий по управлению риском ликвидности, а также иной информации, требующей принятия управленческих решений с учетом накопленных статистических данных по риску ликвидности.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3.5.2. Основными инструментами обмена информацией по риску ликвидности являются следующие формы управленческой отчетности: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 корпоративная периодическая и годовая статистическая отчетность по рискам;</w:t>
      </w:r>
    </w:p>
    <w:p w:rsidR="002049E4" w:rsidRDefault="00F3507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 оперативная управленческая отчетность по риску ликвидности, позволяющая осуществлять мониторинг и контроль деятельности владельца риска ликвидности в области управления риском ликвидности.</w:t>
      </w:r>
    </w:p>
    <w:p w:rsidR="002049E4" w:rsidRDefault="00F35076">
      <w:pPr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eastAsia="Times New Roman" w:hAnsi="Times New Roman"/>
          <w:spacing w:val="-8"/>
          <w:sz w:val="28"/>
          <w:szCs w:val="28"/>
        </w:rPr>
        <w:t>3.5.3.</w:t>
      </w:r>
      <w:r>
        <w:rPr>
          <w:rFonts w:ascii="Times New Roman" w:eastAsia="Times New Roman" w:hAnsi="Times New Roman"/>
          <w:spacing w:val="-8"/>
          <w:sz w:val="28"/>
          <w:szCs w:val="28"/>
        </w:rPr>
        <w:tab/>
        <w:t>Порядок и периодичность формирования, представления в ПУРиВК Общества и консолидации сводной корпоративной периодической и годовой статистической отчетности по рискам регламентируется локальными нормативными актами Общества.</w:t>
      </w:r>
    </w:p>
    <w:p w:rsidR="002049E4" w:rsidRDefault="00F35076">
      <w:pPr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eastAsia="Times New Roman" w:hAnsi="Times New Roman"/>
          <w:spacing w:val="-8"/>
          <w:sz w:val="28"/>
          <w:szCs w:val="28"/>
        </w:rPr>
        <w:t>3.5.4.</w:t>
      </w:r>
      <w:r>
        <w:rPr>
          <w:rFonts w:ascii="Times New Roman" w:eastAsia="Times New Roman" w:hAnsi="Times New Roman"/>
          <w:spacing w:val="-8"/>
          <w:sz w:val="28"/>
          <w:szCs w:val="28"/>
        </w:rPr>
        <w:tab/>
        <w:t>Формы оперативной управленческой отчетности по риску ликвидности Общества разрабатываются на основании форм отчетности, утвержденных локальным нормативным актом МРГ.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3.5.5. Формы оперативной управленческой отчетности по риску ликвидности Общества должны содержать следующую информацию за отчетный период: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 прогнозы ликвидности (краткосрочные, среднесрочные, долгосрочные);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 результаты оценки риска ликвидности, проведенной с применением методов оценки, указанных в разделе 3.2 настоящего Положения, включая динамику количественных показателей риска ликвидности в течение отчетного периода и результаты стресс-тестирования, актуальные на дату представления отчетности;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 движение денежных средств по счетам Общества;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 статус выполнения мероприятий по управлению риском ликвидности, реализованных или находящихся на этапе реализации в отчетном периоде в разрезе дней отчетного периода, в том числе: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 использование лимитов на риск ликвидности;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 проведенные валютно-обменные операции (в разрезе валютных пар);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- размещенные (истребованные) денежные средства (в разрезе кредитных организаций);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 резервы ликвидности (буферы ликвидности) и доступные источники финансирования (в том числе открытые кредитные линии);</w:t>
      </w:r>
    </w:p>
    <w:p w:rsidR="002049E4" w:rsidRDefault="00F35076">
      <w:pPr>
        <w:pStyle w:val="ConsPlusNormal"/>
        <w:ind w:firstLine="709"/>
        <w:jc w:val="both"/>
        <w:rPr>
          <w:spacing w:val="-8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 случаи реализации риска ликвидности, продолжительность, причины, </w:t>
      </w:r>
      <w:r>
        <w:rPr>
          <w:rFonts w:eastAsia="Times New Roman"/>
          <w:spacing w:val="-8"/>
          <w:sz w:val="28"/>
          <w:szCs w:val="28"/>
        </w:rPr>
        <w:t>факторы и последствия;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pacing w:val="-8"/>
          <w:sz w:val="28"/>
          <w:szCs w:val="28"/>
        </w:rPr>
        <w:t>- информация о ходе и результатах выполнения плана восстановления финансовой устойчивости Общества;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 мероприятия по совершенствованию управления риском ликвидности, реализованные в отчетном периоде или находящиеся на этапе реализации по состоянию на конец отчетного периода;</w:t>
      </w:r>
    </w:p>
    <w:p w:rsidR="002049E4" w:rsidRDefault="00F35076">
      <w:pPr>
        <w:pStyle w:val="ConsPlusNormal"/>
        <w:ind w:firstLine="709"/>
        <w:jc w:val="both"/>
        <w:rPr>
          <w:spacing w:val="-8"/>
          <w:sz w:val="28"/>
          <w:szCs w:val="28"/>
        </w:rPr>
      </w:pPr>
      <w:r>
        <w:rPr>
          <w:rFonts w:eastAsia="Times New Roman"/>
          <w:spacing w:val="-8"/>
          <w:sz w:val="28"/>
          <w:szCs w:val="28"/>
        </w:rPr>
        <w:t>- статус выполнения рекомендаций по управлению риском ликвидности, рекомендаций Единого казначейства, МРГ и лидера кэш-пула (для участников кэш-пула).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 рамках формирования оперативной управленческой отчетности по риску ликвидности владелец риска ликвидности Общества выполняет следующие задачи: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 направляет запросы совладельцам риска ликвидности на представление информации по риску ликвидности согласно их функциональным обязанностям;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 формирует оперативную управленческую отчетность по риску ликвидности согласно установленным формам отчетности;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 представляет оперативную управленческую отчетность по риску ликвидности Общества в МРГ в установленном порядке.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 xml:space="preserve">3.5.6. Отчетность по риску ликвидности хранится в информационно-управляющих системах Общества в течение срока, определенного законодательством и локальными нормативными актами </w:t>
      </w:r>
      <w:r>
        <w:rPr>
          <w:rFonts w:ascii="Times New Roman" w:eastAsia="Times New Roman" w:hAnsi="Times New Roman"/>
        </w:rPr>
        <w:t xml:space="preserve">Общества, разработанными на основании локальных нормативных актов </w:t>
      </w:r>
      <w:r>
        <w:rPr>
          <w:rFonts w:ascii="Times New Roman" w:eastAsia="Times New Roman" w:hAnsi="Times New Roman"/>
          <w:szCs w:val="28"/>
        </w:rPr>
        <w:t xml:space="preserve">ПАО «Газпром» и МРГ. </w:t>
      </w:r>
    </w:p>
    <w:p w:rsidR="002049E4" w:rsidRDefault="00F35076">
      <w:pPr>
        <w:pStyle w:val="aff9"/>
        <w:spacing w:before="240" w:after="120"/>
        <w:outlineLvl w:val="0"/>
        <w:rPr>
          <w:rFonts w:ascii="Times New Roman" w:hAnsi="Times New Roman"/>
          <w:b/>
          <w:bCs/>
          <w:szCs w:val="32"/>
        </w:rPr>
      </w:pPr>
      <w:bookmarkStart w:id="39" w:name="_Toc175749014"/>
      <w:r>
        <w:rPr>
          <w:rFonts w:ascii="Times New Roman" w:eastAsiaTheme="majorEastAsia" w:hAnsi="Times New Roman"/>
          <w:b/>
          <w:bCs/>
          <w:szCs w:val="32"/>
        </w:rPr>
        <w:t>3.6. Оценка эффективности управления риском ликвидности</w:t>
      </w:r>
      <w:bookmarkEnd w:id="38"/>
      <w:bookmarkEnd w:id="39"/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Основные положения в части проведения оценки эффективности управления риском ликвидности соответствуют положениям Политики.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Настоящее Положение уточняет следующее: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3.6.1. Оценка эффективности управления риском ликвидности проводится посредством процедур: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 самооценки эффективности управления риском ликвидности;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 внутренней оценки эффективности управления риском ликвидности;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- внешней оценки эффективности управления риском ликвидности.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Подходы к проведению оценки эффективности управления рисками установлены локальными нормативными актами Общества в области управления рисками. </w:t>
      </w:r>
    </w:p>
    <w:p w:rsidR="002049E4" w:rsidRDefault="00F35076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При проведении оценки эффективности управления риском ликвидности</w:t>
      </w:r>
      <w:r>
        <w:rPr>
          <w:rFonts w:eastAsia="Times New Roman"/>
          <w:spacing w:val="-8"/>
          <w:sz w:val="28"/>
          <w:szCs w:val="28"/>
        </w:rPr>
        <w:t xml:space="preserve"> участники процесса управления риском ликвидности руководствуются локальными </w:t>
      </w:r>
      <w:r>
        <w:rPr>
          <w:rFonts w:eastAsia="Times New Roman"/>
          <w:sz w:val="28"/>
          <w:szCs w:val="28"/>
        </w:rPr>
        <w:t>нормативными актами Общества, разработанными на основании локальных нормативных актов</w:t>
      </w:r>
      <w:r>
        <w:rPr>
          <w:rFonts w:eastAsia="Times New Roman"/>
        </w:rPr>
        <w:t xml:space="preserve"> </w:t>
      </w:r>
      <w:r>
        <w:rPr>
          <w:rFonts w:eastAsia="Times New Roman"/>
          <w:sz w:val="28"/>
          <w:szCs w:val="28"/>
        </w:rPr>
        <w:t>ПАО «Газпром» и МРГ.</w:t>
      </w:r>
    </w:p>
    <w:p w:rsidR="002049E4" w:rsidRDefault="00F35076">
      <w:pPr>
        <w:pStyle w:val="aff9"/>
        <w:rPr>
          <w:rFonts w:ascii="Times New Roman" w:hAnsi="Times New Roman"/>
          <w:spacing w:val="-8"/>
          <w:szCs w:val="28"/>
        </w:rPr>
      </w:pPr>
      <w:r>
        <w:rPr>
          <w:rFonts w:ascii="Times New Roman" w:eastAsia="Times New Roman" w:hAnsi="Times New Roman"/>
          <w:szCs w:val="28"/>
          <w:lang w:eastAsia="de-DE"/>
        </w:rPr>
        <w:lastRenderedPageBreak/>
        <w:t>3</w:t>
      </w:r>
      <w:r>
        <w:rPr>
          <w:rFonts w:ascii="Times New Roman" w:eastAsia="Times New Roman" w:hAnsi="Times New Roman"/>
          <w:spacing w:val="-8"/>
          <w:szCs w:val="28"/>
        </w:rPr>
        <w:t>.6.2. Оценка управления риском ликвидности может быть проведена в составе общей оценки эффективности управления рисками Общества.</w:t>
      </w:r>
    </w:p>
    <w:p w:rsidR="002049E4" w:rsidRDefault="00F35076">
      <w:pPr>
        <w:pStyle w:val="aff9"/>
        <w:rPr>
          <w:rFonts w:ascii="Times New Roman" w:hAnsi="Times New Roman"/>
          <w:spacing w:val="-8"/>
          <w:szCs w:val="28"/>
        </w:rPr>
      </w:pPr>
      <w:r>
        <w:rPr>
          <w:rFonts w:ascii="Times New Roman" w:eastAsia="Times New Roman" w:hAnsi="Times New Roman"/>
          <w:spacing w:val="-8"/>
          <w:szCs w:val="28"/>
        </w:rPr>
        <w:t xml:space="preserve">3.6.3. Владельцы (совладельцы) риска ликвидности Общества осуществляют самооценку эффективности управления риском ликвидности для учета результатов при составлении сводной отчетности по рискам и отчетности по риску ликвидности. </w:t>
      </w:r>
    </w:p>
    <w:p w:rsidR="002049E4" w:rsidRDefault="00F35076">
      <w:pPr>
        <w:pStyle w:val="aff9"/>
        <w:rPr>
          <w:rFonts w:ascii="Times New Roman" w:hAnsi="Times New Roman"/>
          <w:spacing w:val="-8"/>
          <w:szCs w:val="28"/>
        </w:rPr>
      </w:pPr>
      <w:r>
        <w:rPr>
          <w:rFonts w:ascii="Times New Roman" w:eastAsia="Times New Roman" w:hAnsi="Times New Roman"/>
          <w:spacing w:val="-8"/>
          <w:szCs w:val="28"/>
        </w:rPr>
        <w:t>3.6.4. Результаты самооценки управления риском ликвидности направляются владельцем риска ликвидности в ПУРиВК Общества для дальнейшего рассмотрения органом управления Общества.</w:t>
      </w:r>
    </w:p>
    <w:p w:rsidR="002049E4" w:rsidRDefault="00F35076">
      <w:pPr>
        <w:pStyle w:val="17"/>
        <w:widowControl/>
        <w:shd w:val="clear" w:color="auto" w:fill="auto"/>
        <w:tabs>
          <w:tab w:val="left" w:pos="567"/>
          <w:tab w:val="left" w:pos="709"/>
        </w:tabs>
        <w:spacing w:line="240" w:lineRule="auto"/>
        <w:ind w:firstLine="709"/>
        <w:rPr>
          <w:color w:val="auto"/>
          <w:spacing w:val="-8"/>
          <w:sz w:val="28"/>
          <w:szCs w:val="28"/>
        </w:rPr>
      </w:pPr>
      <w:r>
        <w:rPr>
          <w:rFonts w:eastAsiaTheme="minorEastAsia"/>
          <w:color w:val="auto"/>
          <w:spacing w:val="-8"/>
          <w:sz w:val="28"/>
          <w:szCs w:val="28"/>
          <w:lang w:eastAsia="en-US" w:bidi="ar-SA"/>
        </w:rPr>
        <w:t>3.6.5. Внутренняя оценка эффективности управления риском ликвидности проводится следующими участниками процесса управления риском ликвидности:</w:t>
      </w:r>
    </w:p>
    <w:p w:rsidR="002049E4" w:rsidRDefault="00F35076">
      <w:pPr>
        <w:pStyle w:val="17"/>
        <w:shd w:val="clear" w:color="auto" w:fill="auto"/>
        <w:tabs>
          <w:tab w:val="left" w:pos="709"/>
        </w:tabs>
        <w:spacing w:line="240" w:lineRule="auto"/>
        <w:ind w:firstLine="709"/>
        <w:rPr>
          <w:color w:val="auto"/>
          <w:sz w:val="28"/>
          <w:szCs w:val="28"/>
        </w:rPr>
      </w:pPr>
      <w:r>
        <w:rPr>
          <w:rFonts w:eastAsiaTheme="minorEastAsia"/>
          <w:color w:val="auto"/>
          <w:spacing w:val="-8"/>
          <w:sz w:val="28"/>
          <w:szCs w:val="28"/>
          <w:lang w:eastAsia="en-US" w:bidi="ar-SA"/>
        </w:rPr>
        <w:t xml:space="preserve">на уровне Общества </w:t>
      </w:r>
      <w:r>
        <w:rPr>
          <w:rFonts w:eastAsiaTheme="minorEastAsia"/>
          <w:color w:val="auto"/>
          <w:sz w:val="28"/>
          <w:szCs w:val="28"/>
          <w:lang w:eastAsia="en-US" w:bidi="ar-SA"/>
        </w:rPr>
        <w:t>– подразделением (работником) внутреннего аудита Общества, подразделением (работником) внутреннего аудита МРГ, подразделением внутреннего аудита ПАО «Газпром» и Единым казначейством (в случае необходимости).</w:t>
      </w:r>
    </w:p>
    <w:p w:rsidR="002049E4" w:rsidRDefault="00F35076">
      <w:pPr>
        <w:pStyle w:val="aff9"/>
        <w:rPr>
          <w:rFonts w:ascii="Times New Roman" w:hAnsi="Times New Roman"/>
          <w:spacing w:val="-8"/>
          <w:szCs w:val="28"/>
        </w:rPr>
      </w:pPr>
      <w:r>
        <w:rPr>
          <w:rFonts w:ascii="Times New Roman" w:eastAsia="Times New Roman" w:hAnsi="Times New Roman"/>
          <w:spacing w:val="-8"/>
          <w:szCs w:val="28"/>
        </w:rPr>
        <w:t>3.6.6. Результаты внутренней оценки эффективности управления риском ликвидности направляются подразделением (работником) внутреннего аудита Общества на рассмотрение органом управления Общества.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pacing w:val="-6"/>
          <w:szCs w:val="28"/>
          <w:lang w:eastAsia="de-DE"/>
        </w:rPr>
        <w:t xml:space="preserve">3.6.7. Внешняя оценка эффективности управления риском ликвидности проводится внешними (не входящими в Группу Газпром межрегионгаз) организациями. Порядок и критерии выбора внешней (не входящей Группу Газпром межрегионгаз) организации для проведения внешней оценки, а также принципы взаимодействия с такой организацией в рамках проведения внешней оценки эффективности управления риском ликвидности устанавливаются внутренними документами </w:t>
      </w:r>
      <w:r>
        <w:rPr>
          <w:rFonts w:ascii="Times New Roman" w:eastAsia="Times New Roman" w:hAnsi="Times New Roman"/>
          <w:spacing w:val="-6"/>
        </w:rPr>
        <w:t xml:space="preserve">Общества, разработанными на основании локальных нормативных актов </w:t>
      </w:r>
      <w:r>
        <w:rPr>
          <w:rFonts w:ascii="Times New Roman" w:eastAsia="Times New Roman" w:hAnsi="Times New Roman"/>
          <w:spacing w:val="-6"/>
          <w:szCs w:val="28"/>
          <w:lang w:eastAsia="de-DE"/>
        </w:rPr>
        <w:t>ПАО «Газпром» и МРГ</w:t>
      </w:r>
      <w:r>
        <w:rPr>
          <w:rFonts w:ascii="Times New Roman" w:eastAsia="Times New Roman" w:hAnsi="Times New Roman"/>
          <w:szCs w:val="28"/>
          <w:lang w:eastAsia="de-DE"/>
        </w:rPr>
        <w:t>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  <w:lang w:eastAsia="de-DE"/>
        </w:rPr>
        <w:t xml:space="preserve">3.6.8. Участники процесса управления риском ликвидности ПАО «Газпром», МРГ вправе инициировать внешнюю оценку эффективности </w:t>
      </w:r>
      <w:r>
        <w:rPr>
          <w:rFonts w:ascii="Times New Roman" w:eastAsia="Times New Roman" w:hAnsi="Times New Roman"/>
          <w:szCs w:val="28"/>
        </w:rPr>
        <w:t>Общества</w:t>
      </w:r>
      <w:r>
        <w:rPr>
          <w:rFonts w:ascii="Times New Roman" w:eastAsia="Times New Roman" w:hAnsi="Times New Roman"/>
          <w:szCs w:val="28"/>
          <w:lang w:eastAsia="de-DE"/>
        </w:rPr>
        <w:t>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  <w:lang w:eastAsia="de-DE"/>
        </w:rPr>
        <w:t xml:space="preserve">3.6.9. Результаты внешней оценки эффективности управления риском ликвидности Общества направляются всем участникам процесса управления риском ликвидности </w:t>
      </w:r>
      <w:r>
        <w:rPr>
          <w:rFonts w:ascii="Times New Roman" w:eastAsia="Times New Roman" w:hAnsi="Times New Roman"/>
          <w:szCs w:val="28"/>
        </w:rPr>
        <w:t>Общества</w:t>
      </w:r>
      <w:r>
        <w:rPr>
          <w:rFonts w:ascii="Times New Roman" w:eastAsia="Times New Roman" w:hAnsi="Times New Roman"/>
          <w:szCs w:val="28"/>
          <w:lang w:eastAsia="de-DE"/>
        </w:rPr>
        <w:t>.</w:t>
      </w:r>
    </w:p>
    <w:p w:rsidR="002049E4" w:rsidRDefault="00F35076">
      <w:pPr>
        <w:pStyle w:val="2"/>
        <w:ind w:left="425" w:firstLine="284"/>
        <w:jc w:val="both"/>
        <w:rPr>
          <w:rFonts w:ascii="Times New Roman" w:hAnsi="Times New Roman"/>
        </w:rPr>
      </w:pPr>
      <w:bookmarkStart w:id="40" w:name="_Toc175749015"/>
      <w:r>
        <w:rPr>
          <w:rFonts w:ascii="Times New Roman" w:eastAsia="Times New Roman" w:hAnsi="Times New Roman"/>
        </w:rPr>
        <w:t>3.7. Внутренний контроль управления риском ликвидности</w:t>
      </w:r>
      <w:bookmarkEnd w:id="40"/>
    </w:p>
    <w:p w:rsidR="002049E4" w:rsidRDefault="00F35076">
      <w:pPr>
        <w:pStyle w:val="aff9"/>
        <w:rPr>
          <w:rFonts w:ascii="Times New Roman" w:hAnsi="Times New Roman"/>
          <w:bCs/>
          <w:szCs w:val="28"/>
        </w:rPr>
      </w:pPr>
      <w:r>
        <w:rPr>
          <w:rFonts w:ascii="Times New Roman" w:eastAsiaTheme="majorEastAsia" w:hAnsi="Times New Roman"/>
          <w:bCs/>
          <w:szCs w:val="28"/>
        </w:rPr>
        <w:t xml:space="preserve">3.7.1. Внутренний контроль управления риском ликвидности реализуется посредством разработки, внедрения и исполнения процедур внутреннего контроля, установленных в </w:t>
      </w:r>
      <w:r>
        <w:rPr>
          <w:rFonts w:ascii="Times New Roman" w:eastAsia="Times New Roman" w:hAnsi="Times New Roman"/>
          <w:szCs w:val="28"/>
        </w:rPr>
        <w:t>Обществе</w:t>
      </w:r>
      <w:r>
        <w:rPr>
          <w:rFonts w:ascii="Times New Roman" w:eastAsiaTheme="majorEastAsia" w:hAnsi="Times New Roman"/>
          <w:bCs/>
          <w:szCs w:val="28"/>
        </w:rPr>
        <w:t>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ПУРиВК Общества в рамках внутреннего контроля осуществляют функции, указанные в п.2.3. настоящего Положения.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3.7.2. Подразделение (работник) внутреннего аудита Общества на регулярной основе при оценке эффективности системы управления риском ликвидности в соответствии с планом проверок проводит независимую проверку: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наличия и проведения регулярного пересмотра локальных нормативных актов по управлению риском ликвидности и внутреннему контролю;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lastRenderedPageBreak/>
        <w:t>- соблюдения установленных требований к управлению риском ликвидности, методов количественной оценки (измерения) риска ликвидности, принятых в них допущений и используемых параметров;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- соответствия внутренних распорядительных документов Общества в области внутреннего контроля и управления риском ликвидности требованиям законодательства.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3.7.3. По итогам проверки подразделение (работник) внутреннего аудита Общества составляет отчет, содержащий сведения о недостатках при управлении риском ликвидности, о результатах оценки адекватности методов измерения риска ликвидности, системы учета и отчетности.</w:t>
      </w:r>
    </w:p>
    <w:p w:rsidR="002049E4" w:rsidRDefault="00F35076">
      <w:pPr>
        <w:pStyle w:val="aff9"/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>В случае необходимости повышения качества управления риском ликвидности подразделение (работник) внутреннего аудита Общества предлагает мероприятия по совершенствованию данной системы.</w:t>
      </w:r>
    </w:p>
    <w:p w:rsidR="002049E4" w:rsidRDefault="00F35076">
      <w:pPr>
        <w:pStyle w:val="aff9"/>
        <w:tabs>
          <w:tab w:val="left" w:pos="1560"/>
        </w:tabs>
        <w:rPr>
          <w:rFonts w:ascii="Times New Roman" w:hAnsi="Times New Roman"/>
          <w:szCs w:val="28"/>
        </w:rPr>
      </w:pPr>
      <w:r>
        <w:rPr>
          <w:rFonts w:ascii="Times New Roman" w:eastAsia="Times New Roman" w:hAnsi="Times New Roman"/>
          <w:szCs w:val="28"/>
        </w:rPr>
        <w:t xml:space="preserve">3.7.4. Подразделение (работник) внутреннего аудита Общества в соответствии с планом проверок представляет отчет и предложения по совершенствованию действующих процессов управления риском ликвидности органу управления </w:t>
      </w:r>
      <w:r>
        <w:rPr>
          <w:rFonts w:ascii="Times New Roman" w:eastAsia="Times New Roman" w:hAnsi="Times New Roman"/>
          <w:spacing w:val="-8"/>
          <w:szCs w:val="28"/>
        </w:rPr>
        <w:t>Общества</w:t>
      </w:r>
      <w:r>
        <w:rPr>
          <w:rFonts w:ascii="Times New Roman" w:eastAsia="Times New Roman" w:hAnsi="Times New Roman"/>
          <w:szCs w:val="28"/>
        </w:rPr>
        <w:t>.</w:t>
      </w:r>
    </w:p>
    <w:p w:rsidR="002049E4" w:rsidRDefault="002049E4">
      <w:pPr>
        <w:pStyle w:val="aff9"/>
        <w:rPr>
          <w:rFonts w:ascii="Times New Roman" w:hAnsi="Times New Roman"/>
          <w:bCs/>
          <w:sz w:val="24"/>
        </w:rPr>
      </w:pPr>
    </w:p>
    <w:p w:rsidR="002049E4" w:rsidRDefault="002049E4">
      <w:pPr>
        <w:ind w:firstLine="0"/>
        <w:rPr>
          <w:rFonts w:ascii="Times New Roman" w:hAnsi="Times New Roman"/>
          <w:sz w:val="2"/>
          <w:szCs w:val="2"/>
        </w:rPr>
      </w:pPr>
    </w:p>
    <w:p w:rsidR="002049E4" w:rsidRDefault="002049E4">
      <w:pPr>
        <w:pStyle w:val="aff9"/>
        <w:rPr>
          <w:rFonts w:ascii="Times New Roman" w:hAnsi="Times New Roman"/>
          <w:sz w:val="2"/>
          <w:szCs w:val="2"/>
        </w:rPr>
      </w:pPr>
    </w:p>
    <w:p w:rsidR="002049E4" w:rsidRDefault="002049E4">
      <w:pPr>
        <w:rPr>
          <w:rFonts w:ascii="Times New Roman" w:hAnsi="Times New Roman"/>
          <w:sz w:val="2"/>
          <w:szCs w:val="2"/>
        </w:rPr>
      </w:pPr>
    </w:p>
    <w:sectPr w:rsidR="002049E4">
      <w:headerReference w:type="default" r:id="rId17"/>
      <w:pgSz w:w="11907" w:h="16839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3FE" w:rsidRDefault="00AF13FE">
      <w:r>
        <w:separator/>
      </w:r>
    </w:p>
    <w:p w:rsidR="00AF13FE" w:rsidRDefault="00AF13FE"/>
    <w:p w:rsidR="00AF13FE" w:rsidRDefault="00AF13FE"/>
  </w:endnote>
  <w:endnote w:type="continuationSeparator" w:id="0">
    <w:p w:rsidR="00AF13FE" w:rsidRDefault="00AF13FE">
      <w:r>
        <w:continuationSeparator/>
      </w:r>
    </w:p>
    <w:p w:rsidR="00AF13FE" w:rsidRDefault="00AF13FE"/>
    <w:p w:rsidR="00AF13FE" w:rsidRDefault="00AF13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9E4" w:rsidRDefault="002049E4">
    <w:pPr>
      <w:pStyle w:val="af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9E4" w:rsidRDefault="00F35076">
    <w:pPr>
      <w:pStyle w:val="afb"/>
      <w:ind w:firstLine="0"/>
      <w:jc w:val="center"/>
      <w:rPr>
        <w:rFonts w:ascii="Times New Roman" w:hAnsi="Times New Roman"/>
        <w:sz w:val="32"/>
        <w:szCs w:val="32"/>
      </w:rPr>
    </w:pPr>
    <w:r>
      <w:rPr>
        <w:rFonts w:ascii="Times New Roman" w:eastAsia="Times New Roman" w:hAnsi="Times New Roman"/>
        <w:color w:val="000000"/>
        <w:sz w:val="28"/>
        <w:szCs w:val="28"/>
      </w:rPr>
      <w:t xml:space="preserve">г. </w:t>
    </w:r>
    <w:r>
      <w:rPr>
        <w:rFonts w:ascii="Times New Roman" w:eastAsia="Times New Roman" w:hAnsi="Times New Roman"/>
        <w:color w:val="000000"/>
        <w:sz w:val="28"/>
        <w:szCs w:val="28"/>
        <w:highlight w:val="white"/>
      </w:rPr>
      <w:t>Уфа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9E4" w:rsidRDefault="002049E4">
    <w:pPr>
      <w:pStyle w:val="af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9E4" w:rsidRDefault="002049E4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3FE" w:rsidRDefault="00AF13FE">
      <w:r>
        <w:separator/>
      </w:r>
    </w:p>
  </w:footnote>
  <w:footnote w:type="continuationSeparator" w:id="0">
    <w:p w:rsidR="00AF13FE" w:rsidRDefault="00AF13FE">
      <w:r>
        <w:continuationSeparator/>
      </w:r>
    </w:p>
    <w:p w:rsidR="00AF13FE" w:rsidRDefault="00AF13FE"/>
    <w:p w:rsidR="00AF13FE" w:rsidRDefault="00AF13FE"/>
  </w:footnote>
  <w:footnote w:id="1">
    <w:p w:rsidR="002049E4" w:rsidRDefault="00F35076">
      <w:pPr>
        <w:pStyle w:val="aff0"/>
        <w:jc w:val="both"/>
        <w:rPr>
          <w:sz w:val="24"/>
          <w:szCs w:val="24"/>
        </w:rPr>
      </w:pPr>
      <w:r>
        <w:rPr>
          <w:rStyle w:val="aff2"/>
          <w:sz w:val="24"/>
          <w:szCs w:val="24"/>
        </w:rPr>
        <w:footnoteRef/>
      </w:r>
      <w:r>
        <w:rPr>
          <w:sz w:val="24"/>
          <w:szCs w:val="24"/>
        </w:rPr>
        <w:t xml:space="preserve"> Стандарты управления рисками </w:t>
      </w:r>
      <w:r>
        <w:rPr>
          <w:sz w:val="24"/>
          <w:szCs w:val="24"/>
          <w:lang w:val="en-US"/>
        </w:rPr>
        <w:t>ISO</w:t>
      </w:r>
      <w:r>
        <w:rPr>
          <w:sz w:val="24"/>
          <w:szCs w:val="24"/>
        </w:rPr>
        <w:t xml:space="preserve"> 31000, стандарты Федерации европейских ассоциаций риск-менеджеров (</w:t>
      </w:r>
      <w:r>
        <w:rPr>
          <w:sz w:val="24"/>
          <w:szCs w:val="24"/>
          <w:lang w:val="en-US"/>
        </w:rPr>
        <w:t>FERMA</w:t>
      </w:r>
      <w:r>
        <w:rPr>
          <w:sz w:val="24"/>
          <w:szCs w:val="24"/>
        </w:rPr>
        <w:t>), Комитета спонсорских организаций Комиссии Тредвея (</w:t>
      </w:r>
      <w:r>
        <w:rPr>
          <w:sz w:val="24"/>
          <w:szCs w:val="24"/>
          <w:lang w:val="en-US"/>
        </w:rPr>
        <w:t>COSO</w:t>
      </w:r>
      <w:r>
        <w:rPr>
          <w:sz w:val="24"/>
          <w:szCs w:val="24"/>
        </w:rPr>
        <w:t>), Комитета директоров по рискам (</w:t>
      </w:r>
      <w:r>
        <w:rPr>
          <w:sz w:val="24"/>
          <w:szCs w:val="24"/>
          <w:lang w:val="en-US"/>
        </w:rPr>
        <w:t>CCRO</w:t>
      </w:r>
      <w:r>
        <w:rPr>
          <w:sz w:val="24"/>
          <w:szCs w:val="24"/>
        </w:rPr>
        <w:t>), Базельского комитета по банковскому надзору, а также ГОСТы серии «Менеджмент риска».</w:t>
      </w:r>
    </w:p>
  </w:footnote>
  <w:footnote w:id="2">
    <w:p w:rsidR="002049E4" w:rsidRDefault="00F35076">
      <w:pPr>
        <w:pStyle w:val="aff0"/>
        <w:jc w:val="both"/>
        <w:rPr>
          <w:sz w:val="24"/>
          <w:szCs w:val="24"/>
        </w:rPr>
      </w:pPr>
      <w:r>
        <w:rPr>
          <w:rStyle w:val="aff2"/>
          <w:sz w:val="24"/>
          <w:szCs w:val="24"/>
        </w:rPr>
        <w:footnoteRef/>
      </w:r>
      <w:r>
        <w:rPr>
          <w:sz w:val="24"/>
          <w:szCs w:val="24"/>
        </w:rPr>
        <w:t xml:space="preserve"> Первая линия защиты – управление риском ликвидности и внутренний контроль на уровне бизнес-процессов.</w:t>
      </w:r>
    </w:p>
    <w:p w:rsidR="002049E4" w:rsidRDefault="00F35076">
      <w:pPr>
        <w:pStyle w:val="aff0"/>
        <w:jc w:val="both"/>
        <w:rPr>
          <w:sz w:val="24"/>
          <w:szCs w:val="24"/>
        </w:rPr>
      </w:pPr>
      <w:r>
        <w:rPr>
          <w:sz w:val="24"/>
          <w:szCs w:val="24"/>
        </w:rPr>
        <w:t>Вторая линия защиты – формирование единой политики в области управления риском ликвидности и внутреннего контроля, методологическое обеспечение ее реализации, а также координация деятельности структурных подразделений Общества по управлению риском ликвидности и внутреннему контролю.</w:t>
      </w:r>
    </w:p>
    <w:p w:rsidR="002049E4" w:rsidRDefault="00F35076">
      <w:pPr>
        <w:pStyle w:val="aff0"/>
        <w:jc w:val="both"/>
        <w:rPr>
          <w:sz w:val="24"/>
          <w:szCs w:val="24"/>
        </w:rPr>
      </w:pPr>
      <w:r>
        <w:rPr>
          <w:sz w:val="24"/>
          <w:szCs w:val="24"/>
        </w:rPr>
        <w:t>Третья линия защиты – независимая и объективная внутренняя оценка эффективности управления риском ликвидности и внутреннего контроля.</w:t>
      </w:r>
    </w:p>
  </w:footnote>
  <w:footnote w:id="3">
    <w:p w:rsidR="002049E4" w:rsidRDefault="00F35076">
      <w:pPr>
        <w:pStyle w:val="aff0"/>
        <w:jc w:val="both"/>
        <w:rPr>
          <w:sz w:val="24"/>
          <w:szCs w:val="24"/>
        </w:rPr>
      </w:pPr>
      <w:r>
        <w:rPr>
          <w:rStyle w:val="aff2"/>
          <w:sz w:val="24"/>
          <w:szCs w:val="24"/>
        </w:rPr>
        <w:footnoteRef/>
      </w:r>
      <w:r>
        <w:rPr>
          <w:sz w:val="24"/>
          <w:szCs w:val="24"/>
        </w:rPr>
        <w:t xml:space="preserve"> Определено в соответствии с Классификатором рисков.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9E4" w:rsidRDefault="002049E4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9E4" w:rsidRDefault="002049E4">
    <w:pPr>
      <w:pStyle w:val="af9"/>
      <w:jc w:val="right"/>
    </w:pPr>
  </w:p>
  <w:p w:rsidR="002049E4" w:rsidRDefault="002049E4">
    <w:pPr>
      <w:pStyle w:val="af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9E4" w:rsidRDefault="002049E4">
    <w:pPr>
      <w:pStyle w:val="af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9E4" w:rsidRDefault="00F35076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03AA4">
      <w:rPr>
        <w:noProof/>
      </w:rPr>
      <w:t>2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9E4" w:rsidRDefault="00F35076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03AA4">
      <w:rPr>
        <w:noProof/>
      </w:rPr>
      <w:t>21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D6BD2"/>
    <w:multiLevelType w:val="hybridMultilevel"/>
    <w:tmpl w:val="33209F48"/>
    <w:lvl w:ilvl="0" w:tplc="F41A2478">
      <w:start w:val="1"/>
      <w:numFmt w:val="bullet"/>
      <w:lvlText w:val=""/>
      <w:lvlJc w:val="left"/>
      <w:pPr>
        <w:ind w:left="5399" w:hanging="360"/>
      </w:pPr>
      <w:rPr>
        <w:rFonts w:ascii="Symbol" w:hAnsi="Symbol" w:hint="default"/>
      </w:rPr>
    </w:lvl>
    <w:lvl w:ilvl="1" w:tplc="82AA5034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2" w:tplc="4254F3D2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  <w:lvl w:ilvl="3" w:tplc="76B2E4D4">
      <w:start w:val="1"/>
      <w:numFmt w:val="bullet"/>
      <w:lvlText w:val=""/>
      <w:lvlJc w:val="left"/>
      <w:pPr>
        <w:ind w:left="7559" w:hanging="360"/>
      </w:pPr>
      <w:rPr>
        <w:rFonts w:ascii="Symbol" w:hAnsi="Symbol" w:hint="default"/>
      </w:rPr>
    </w:lvl>
    <w:lvl w:ilvl="4" w:tplc="36F01E5E">
      <w:start w:val="1"/>
      <w:numFmt w:val="bullet"/>
      <w:lvlText w:val="o"/>
      <w:lvlJc w:val="left"/>
      <w:pPr>
        <w:ind w:left="8279" w:hanging="360"/>
      </w:pPr>
      <w:rPr>
        <w:rFonts w:ascii="Courier New" w:hAnsi="Courier New" w:cs="Courier New" w:hint="default"/>
      </w:rPr>
    </w:lvl>
    <w:lvl w:ilvl="5" w:tplc="61A44504">
      <w:start w:val="1"/>
      <w:numFmt w:val="bullet"/>
      <w:lvlText w:val=""/>
      <w:lvlJc w:val="left"/>
      <w:pPr>
        <w:ind w:left="8999" w:hanging="360"/>
      </w:pPr>
      <w:rPr>
        <w:rFonts w:ascii="Wingdings" w:hAnsi="Wingdings" w:hint="default"/>
      </w:rPr>
    </w:lvl>
    <w:lvl w:ilvl="6" w:tplc="02EC6A74">
      <w:start w:val="1"/>
      <w:numFmt w:val="bullet"/>
      <w:lvlText w:val=""/>
      <w:lvlJc w:val="left"/>
      <w:pPr>
        <w:ind w:left="9719" w:hanging="360"/>
      </w:pPr>
      <w:rPr>
        <w:rFonts w:ascii="Symbol" w:hAnsi="Symbol" w:hint="default"/>
      </w:rPr>
    </w:lvl>
    <w:lvl w:ilvl="7" w:tplc="759443CA">
      <w:start w:val="1"/>
      <w:numFmt w:val="bullet"/>
      <w:lvlText w:val="o"/>
      <w:lvlJc w:val="left"/>
      <w:pPr>
        <w:ind w:left="10439" w:hanging="360"/>
      </w:pPr>
      <w:rPr>
        <w:rFonts w:ascii="Courier New" w:hAnsi="Courier New" w:cs="Courier New" w:hint="default"/>
      </w:rPr>
    </w:lvl>
    <w:lvl w:ilvl="8" w:tplc="FB9C5816">
      <w:start w:val="1"/>
      <w:numFmt w:val="bullet"/>
      <w:lvlText w:val=""/>
      <w:lvlJc w:val="left"/>
      <w:pPr>
        <w:ind w:left="11159" w:hanging="360"/>
      </w:pPr>
      <w:rPr>
        <w:rFonts w:ascii="Wingdings" w:hAnsi="Wingdings" w:hint="default"/>
      </w:rPr>
    </w:lvl>
  </w:abstractNum>
  <w:abstractNum w:abstractNumId="1" w15:restartNumberingAfterBreak="0">
    <w:nsid w:val="1D020A7B"/>
    <w:multiLevelType w:val="multilevel"/>
    <w:tmpl w:val="B366C26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3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251131B5"/>
    <w:multiLevelType w:val="hybridMultilevel"/>
    <w:tmpl w:val="6896D990"/>
    <w:lvl w:ilvl="0" w:tplc="E7F8924A">
      <w:start w:val="1"/>
      <w:numFmt w:val="bullet"/>
      <w:pStyle w:val="a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BC4AFAEE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2020EC20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23D8918C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4B94C214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368EC2A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9D0C7CD4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69DA642C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5B683BD2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" w15:restartNumberingAfterBreak="0">
    <w:nsid w:val="325945EA"/>
    <w:multiLevelType w:val="multilevel"/>
    <w:tmpl w:val="015217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7087C40"/>
    <w:multiLevelType w:val="hybridMultilevel"/>
    <w:tmpl w:val="FBB6FE5E"/>
    <w:lvl w:ilvl="0" w:tplc="F5E2903A">
      <w:start w:val="1"/>
      <w:numFmt w:val="bullet"/>
      <w:lvlText w:val="−"/>
      <w:lvlJc w:val="left"/>
      <w:pPr>
        <w:ind w:left="1429" w:hanging="360"/>
      </w:pPr>
      <w:rPr>
        <w:rFonts w:ascii="Courier New" w:hAnsi="Courier New" w:hint="default"/>
        <w:color w:val="auto"/>
        <w:u w:val="none"/>
      </w:rPr>
    </w:lvl>
    <w:lvl w:ilvl="1" w:tplc="6EF8AB5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64A10C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78E60B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BA0F39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99494C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52AACC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814856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710817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F07687"/>
    <w:multiLevelType w:val="hybridMultilevel"/>
    <w:tmpl w:val="D89441EE"/>
    <w:lvl w:ilvl="0" w:tplc="B8ECD5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AA2E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F89F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2639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CCFE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1AF2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CA06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08F3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049F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6A7606"/>
    <w:multiLevelType w:val="multilevel"/>
    <w:tmpl w:val="F41ED380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7" w15:restartNumberingAfterBreak="0">
    <w:nsid w:val="7D6D2560"/>
    <w:multiLevelType w:val="multilevel"/>
    <w:tmpl w:val="7F7C5E5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8" w15:restartNumberingAfterBreak="0">
    <w:nsid w:val="7D6F5BC0"/>
    <w:multiLevelType w:val="hybridMultilevel"/>
    <w:tmpl w:val="246A74B4"/>
    <w:lvl w:ilvl="0" w:tplc="C0C01F36">
      <w:start w:val="1"/>
      <w:numFmt w:val="decimal"/>
      <w:lvlText w:val="%1."/>
      <w:lvlJc w:val="left"/>
      <w:pPr>
        <w:ind w:left="720" w:hanging="360"/>
      </w:pPr>
    </w:lvl>
    <w:lvl w:ilvl="1" w:tplc="E3D01E7C">
      <w:start w:val="1"/>
      <w:numFmt w:val="lowerLetter"/>
      <w:lvlText w:val="%2."/>
      <w:lvlJc w:val="left"/>
      <w:pPr>
        <w:ind w:left="1440" w:hanging="360"/>
      </w:pPr>
    </w:lvl>
    <w:lvl w:ilvl="2" w:tplc="F2D09B88">
      <w:start w:val="1"/>
      <w:numFmt w:val="lowerRoman"/>
      <w:lvlText w:val="%3."/>
      <w:lvlJc w:val="right"/>
      <w:pPr>
        <w:ind w:left="2160" w:hanging="180"/>
      </w:pPr>
    </w:lvl>
    <w:lvl w:ilvl="3" w:tplc="25D602C6">
      <w:start w:val="1"/>
      <w:numFmt w:val="decimal"/>
      <w:lvlText w:val="%4."/>
      <w:lvlJc w:val="left"/>
      <w:pPr>
        <w:ind w:left="2880" w:hanging="360"/>
      </w:pPr>
    </w:lvl>
    <w:lvl w:ilvl="4" w:tplc="C4D01A22">
      <w:start w:val="1"/>
      <w:numFmt w:val="lowerLetter"/>
      <w:lvlText w:val="%5."/>
      <w:lvlJc w:val="left"/>
      <w:pPr>
        <w:ind w:left="3600" w:hanging="360"/>
      </w:pPr>
    </w:lvl>
    <w:lvl w:ilvl="5" w:tplc="CED2E2F6">
      <w:start w:val="1"/>
      <w:numFmt w:val="lowerRoman"/>
      <w:lvlText w:val="%6."/>
      <w:lvlJc w:val="right"/>
      <w:pPr>
        <w:ind w:left="4320" w:hanging="180"/>
      </w:pPr>
    </w:lvl>
    <w:lvl w:ilvl="6" w:tplc="8DBE49D8">
      <w:start w:val="1"/>
      <w:numFmt w:val="decimal"/>
      <w:lvlText w:val="%7."/>
      <w:lvlJc w:val="left"/>
      <w:pPr>
        <w:ind w:left="5040" w:hanging="360"/>
      </w:pPr>
    </w:lvl>
    <w:lvl w:ilvl="7" w:tplc="4798E17C">
      <w:start w:val="1"/>
      <w:numFmt w:val="lowerLetter"/>
      <w:lvlText w:val="%8."/>
      <w:lvlJc w:val="left"/>
      <w:pPr>
        <w:ind w:left="5760" w:hanging="360"/>
      </w:pPr>
    </w:lvl>
    <w:lvl w:ilvl="8" w:tplc="EE6E7ED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720614"/>
    <w:multiLevelType w:val="hybridMultilevel"/>
    <w:tmpl w:val="AE9AE710"/>
    <w:lvl w:ilvl="0" w:tplc="F092D7E0">
      <w:start w:val="1"/>
      <w:numFmt w:val="bullet"/>
      <w:lvlText w:val="−"/>
      <w:lvlJc w:val="left"/>
      <w:pPr>
        <w:ind w:left="1429" w:hanging="360"/>
      </w:pPr>
      <w:rPr>
        <w:rFonts w:ascii="Courier New" w:hAnsi="Courier New" w:hint="default"/>
        <w:color w:val="auto"/>
        <w:u w:val="none"/>
      </w:rPr>
    </w:lvl>
    <w:lvl w:ilvl="1" w:tplc="6876FE4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058E52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44A24B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0835E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B5A039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C46FAE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A70887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C8E867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9"/>
  </w:num>
  <w:num w:numId="6">
    <w:abstractNumId w:val="0"/>
  </w:num>
  <w:num w:numId="7">
    <w:abstractNumId w:val="8"/>
  </w:num>
  <w:num w:numId="8">
    <w:abstractNumId w:val="1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9E4"/>
    <w:rsid w:val="000C3D15"/>
    <w:rsid w:val="002049E4"/>
    <w:rsid w:val="00735884"/>
    <w:rsid w:val="00AA53D5"/>
    <w:rsid w:val="00AF13FE"/>
    <w:rsid w:val="00B03AA4"/>
    <w:rsid w:val="00F35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963468-986F-4EE8-AEEA-4D28F21C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709"/>
    </w:pPr>
    <w:rPr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pPr>
      <w:keepNext/>
      <w:tabs>
        <w:tab w:val="left" w:pos="993"/>
      </w:tabs>
      <w:spacing w:before="60" w:after="60" w:line="360" w:lineRule="auto"/>
      <w:ind w:firstLine="0"/>
      <w:jc w:val="center"/>
      <w:outlineLvl w:val="0"/>
    </w:pPr>
    <w:rPr>
      <w:rFonts w:asciiTheme="majorHAnsi" w:eastAsiaTheme="majorEastAsia" w:hAnsiTheme="majorHAnsi"/>
      <w:b/>
      <w:bCs/>
      <w:sz w:val="28"/>
      <w:szCs w:val="32"/>
    </w:rPr>
  </w:style>
  <w:style w:type="paragraph" w:styleId="2">
    <w:name w:val="heading 2"/>
    <w:basedOn w:val="1"/>
    <w:next w:val="a0"/>
    <w:link w:val="20"/>
    <w:uiPriority w:val="9"/>
    <w:unhideWhenUsed/>
    <w:qFormat/>
    <w:pPr>
      <w:tabs>
        <w:tab w:val="clear" w:pos="993"/>
        <w:tab w:val="left" w:pos="1219"/>
      </w:tabs>
      <w:spacing w:before="240" w:after="120" w:line="240" w:lineRule="auto"/>
      <w:jc w:val="left"/>
      <w:outlineLvl w:val="1"/>
    </w:p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spacing w:before="120" w:after="60"/>
      <w:ind w:firstLine="0"/>
      <w:outlineLvl w:val="2"/>
    </w:pPr>
    <w:rPr>
      <w:rFonts w:asciiTheme="majorHAnsi" w:eastAsiaTheme="majorEastAsia" w:hAnsiTheme="majorHAnsi"/>
      <w:b/>
      <w:bCs/>
      <w:sz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4">
    <w:name w:val="endnote text"/>
    <w:basedOn w:val="a0"/>
    <w:link w:val="a5"/>
    <w:uiPriority w:val="99"/>
    <w:semiHidden/>
    <w:unhideWhenUsed/>
    <w:rPr>
      <w:sz w:val="20"/>
    </w:rPr>
  </w:style>
  <w:style w:type="character" w:customStyle="1" w:styleId="a5">
    <w:name w:val="Текст концевой сноски Знак"/>
    <w:link w:val="a4"/>
    <w:uiPriority w:val="99"/>
    <w:rPr>
      <w:sz w:val="20"/>
    </w:rPr>
  </w:style>
  <w:style w:type="character" w:styleId="a6">
    <w:name w:val="endnote reference"/>
    <w:basedOn w:val="a1"/>
    <w:uiPriority w:val="99"/>
    <w:semiHidden/>
    <w:unhideWhenUsed/>
    <w:rPr>
      <w:vertAlign w:val="superscript"/>
    </w:rPr>
  </w:style>
  <w:style w:type="paragraph" w:styleId="a7">
    <w:name w:val="table of figures"/>
    <w:basedOn w:val="a0"/>
    <w:next w:val="a0"/>
    <w:uiPriority w:val="99"/>
    <w:unhideWhenUsed/>
  </w:style>
  <w:style w:type="paragraph" w:styleId="a8">
    <w:name w:val="Title"/>
    <w:basedOn w:val="a0"/>
    <w:next w:val="a0"/>
    <w:link w:val="a9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sz w:val="32"/>
      <w:szCs w:val="32"/>
    </w:rPr>
  </w:style>
  <w:style w:type="character" w:customStyle="1" w:styleId="a9">
    <w:name w:val="Название Знак"/>
    <w:basedOn w:val="a1"/>
    <w:link w:val="a8"/>
    <w:uiPriority w:val="10"/>
    <w:rPr>
      <w:rFonts w:asciiTheme="majorHAnsi" w:eastAsiaTheme="majorEastAsia" w:hAnsiTheme="majorHAnsi"/>
      <w:b/>
      <w:bCs/>
      <w:sz w:val="32"/>
      <w:szCs w:val="32"/>
    </w:rPr>
  </w:style>
  <w:style w:type="character" w:customStyle="1" w:styleId="10">
    <w:name w:val="Заголовок 1 Знак"/>
    <w:basedOn w:val="a1"/>
    <w:link w:val="1"/>
    <w:uiPriority w:val="99"/>
    <w:rPr>
      <w:rFonts w:asciiTheme="majorHAnsi" w:eastAsiaTheme="majorEastAsia" w:hAnsiTheme="majorHAnsi"/>
      <w:b/>
      <w:bCs/>
      <w:sz w:val="28"/>
      <w:szCs w:val="32"/>
    </w:rPr>
  </w:style>
  <w:style w:type="character" w:customStyle="1" w:styleId="20">
    <w:name w:val="Заголовок 2 Знак"/>
    <w:basedOn w:val="a1"/>
    <w:link w:val="2"/>
    <w:uiPriority w:val="9"/>
    <w:rPr>
      <w:rFonts w:asciiTheme="majorHAnsi" w:eastAsiaTheme="majorEastAsia" w:hAnsiTheme="majorHAnsi"/>
      <w:b/>
      <w:bCs/>
      <w:sz w:val="28"/>
      <w:szCs w:val="32"/>
    </w:rPr>
  </w:style>
  <w:style w:type="character" w:customStyle="1" w:styleId="30">
    <w:name w:val="Заголовок 3 Знак"/>
    <w:basedOn w:val="a1"/>
    <w:link w:val="3"/>
    <w:uiPriority w:val="9"/>
    <w:rPr>
      <w:rFonts w:asciiTheme="majorHAnsi" w:eastAsiaTheme="majorEastAsia" w:hAnsiTheme="majorHAnsi"/>
      <w:b/>
      <w:bCs/>
      <w:sz w:val="28"/>
      <w:szCs w:val="24"/>
    </w:rPr>
  </w:style>
  <w:style w:type="character" w:customStyle="1" w:styleId="40">
    <w:name w:val="Заголовок 4 Знак"/>
    <w:basedOn w:val="a1"/>
    <w:link w:val="4"/>
    <w:uiPriority w:val="9"/>
    <w:semiHidden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Pr>
      <w:rFonts w:asciiTheme="majorHAnsi" w:eastAsiaTheme="majorEastAsia" w:hAnsiTheme="majorHAnsi"/>
    </w:rPr>
  </w:style>
  <w:style w:type="paragraph" w:styleId="aa">
    <w:name w:val="caption"/>
    <w:basedOn w:val="a0"/>
    <w:next w:val="a0"/>
    <w:uiPriority w:val="35"/>
    <w:semiHidden/>
    <w:unhideWhenUsed/>
    <w:rPr>
      <w:caps/>
      <w:spacing w:val="10"/>
      <w:sz w:val="18"/>
      <w:szCs w:val="18"/>
    </w:rPr>
  </w:style>
  <w:style w:type="paragraph" w:styleId="ab">
    <w:name w:val="Subtitle"/>
    <w:basedOn w:val="a0"/>
    <w:next w:val="a0"/>
    <w:link w:val="ac"/>
    <w:uiPriority w:val="11"/>
    <w:qFormat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c">
    <w:name w:val="Подзаголовок Знак"/>
    <w:basedOn w:val="a1"/>
    <w:link w:val="ab"/>
    <w:uiPriority w:val="11"/>
    <w:rPr>
      <w:rFonts w:asciiTheme="majorHAnsi" w:eastAsiaTheme="majorEastAsia" w:hAnsiTheme="majorHAnsi"/>
      <w:sz w:val="24"/>
      <w:szCs w:val="24"/>
    </w:r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Emphasis"/>
    <w:basedOn w:val="a1"/>
    <w:uiPriority w:val="20"/>
    <w:qFormat/>
    <w:rPr>
      <w:rFonts w:asciiTheme="minorHAnsi" w:hAnsiTheme="minorHAnsi"/>
      <w:b/>
      <w:i/>
      <w:iCs/>
    </w:rPr>
  </w:style>
  <w:style w:type="paragraph" w:styleId="af">
    <w:name w:val="No Spacing"/>
    <w:basedOn w:val="a0"/>
    <w:link w:val="af0"/>
    <w:uiPriority w:val="1"/>
    <w:qFormat/>
    <w:rPr>
      <w:szCs w:val="32"/>
    </w:rPr>
  </w:style>
  <w:style w:type="character" w:customStyle="1" w:styleId="af0">
    <w:name w:val="Без интервала Знак"/>
    <w:basedOn w:val="a1"/>
    <w:link w:val="af"/>
    <w:uiPriority w:val="1"/>
    <w:rPr>
      <w:sz w:val="24"/>
      <w:szCs w:val="32"/>
    </w:rPr>
  </w:style>
  <w:style w:type="paragraph" w:styleId="a">
    <w:name w:val="List Paragraph"/>
    <w:basedOn w:val="a0"/>
    <w:uiPriority w:val="99"/>
    <w:qFormat/>
    <w:pPr>
      <w:numPr>
        <w:numId w:val="2"/>
      </w:numPr>
      <w:tabs>
        <w:tab w:val="left" w:pos="992"/>
      </w:tabs>
      <w:jc w:val="both"/>
    </w:pPr>
    <w:rPr>
      <w:sz w:val="28"/>
    </w:rPr>
  </w:style>
  <w:style w:type="paragraph" w:styleId="22">
    <w:name w:val="Quote"/>
    <w:basedOn w:val="a0"/>
    <w:next w:val="a0"/>
    <w:link w:val="23"/>
    <w:uiPriority w:val="29"/>
    <w:qFormat/>
    <w:rPr>
      <w:i/>
    </w:rPr>
  </w:style>
  <w:style w:type="character" w:customStyle="1" w:styleId="23">
    <w:name w:val="Цитата 2 Знак"/>
    <w:basedOn w:val="a1"/>
    <w:link w:val="22"/>
    <w:uiPriority w:val="29"/>
    <w:rPr>
      <w:i/>
      <w:sz w:val="24"/>
      <w:szCs w:val="24"/>
    </w:rPr>
  </w:style>
  <w:style w:type="paragraph" w:styleId="af1">
    <w:name w:val="Intense Quote"/>
    <w:basedOn w:val="a0"/>
    <w:next w:val="a0"/>
    <w:link w:val="af2"/>
    <w:uiPriority w:val="30"/>
    <w:qFormat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1"/>
    <w:link w:val="af1"/>
    <w:uiPriority w:val="30"/>
    <w:rPr>
      <w:b/>
      <w:i/>
      <w:sz w:val="24"/>
    </w:rPr>
  </w:style>
  <w:style w:type="character" w:styleId="af3">
    <w:name w:val="Subtle Emphasis"/>
    <w:uiPriority w:val="19"/>
    <w:qFormat/>
    <w:rPr>
      <w:i/>
      <w:color w:val="5A5A5A" w:themeColor="text1" w:themeTint="A5"/>
    </w:rPr>
  </w:style>
  <w:style w:type="character" w:styleId="af4">
    <w:name w:val="Intense Emphasis"/>
    <w:basedOn w:val="a1"/>
    <w:uiPriority w:val="21"/>
    <w:qFormat/>
    <w:rPr>
      <w:b/>
      <w:i/>
      <w:sz w:val="24"/>
      <w:szCs w:val="24"/>
      <w:u w:val="single"/>
    </w:rPr>
  </w:style>
  <w:style w:type="character" w:styleId="af5">
    <w:name w:val="Subtle Reference"/>
    <w:basedOn w:val="a1"/>
    <w:uiPriority w:val="31"/>
    <w:qFormat/>
    <w:rPr>
      <w:sz w:val="24"/>
      <w:szCs w:val="24"/>
      <w:u w:val="single"/>
    </w:rPr>
  </w:style>
  <w:style w:type="character" w:styleId="af6">
    <w:name w:val="Intense Reference"/>
    <w:basedOn w:val="a1"/>
    <w:uiPriority w:val="32"/>
    <w:qFormat/>
    <w:rPr>
      <w:b/>
      <w:sz w:val="24"/>
      <w:u w:val="single"/>
    </w:rPr>
  </w:style>
  <w:style w:type="character" w:styleId="af7">
    <w:name w:val="Book Title"/>
    <w:basedOn w:val="a1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0"/>
    <w:uiPriority w:val="39"/>
    <w:unhideWhenUsed/>
    <w:qFormat/>
    <w:pPr>
      <w:outlineLvl w:val="9"/>
    </w:pPr>
  </w:style>
  <w:style w:type="paragraph" w:styleId="af9">
    <w:name w:val="header"/>
    <w:basedOn w:val="a0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1"/>
    <w:link w:val="af9"/>
    <w:uiPriority w:val="99"/>
    <w:rPr>
      <w:sz w:val="24"/>
      <w:szCs w:val="24"/>
    </w:rPr>
  </w:style>
  <w:style w:type="paragraph" w:styleId="afb">
    <w:name w:val="footer"/>
    <w:basedOn w:val="a0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1"/>
    <w:link w:val="afb"/>
    <w:uiPriority w:val="99"/>
    <w:rPr>
      <w:sz w:val="24"/>
      <w:szCs w:val="24"/>
    </w:rPr>
  </w:style>
  <w:style w:type="paragraph" w:styleId="afd">
    <w:name w:val="Balloon Text"/>
    <w:basedOn w:val="a0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1"/>
    <w:link w:val="afd"/>
    <w:uiPriority w:val="99"/>
    <w:semiHidden/>
    <w:rPr>
      <w:rFonts w:ascii="Tahoma" w:hAnsi="Tahoma" w:cs="Tahoma"/>
      <w:sz w:val="16"/>
      <w:szCs w:val="16"/>
    </w:rPr>
  </w:style>
  <w:style w:type="paragraph" w:styleId="12">
    <w:name w:val="toc 1"/>
    <w:basedOn w:val="a0"/>
    <w:next w:val="a0"/>
    <w:uiPriority w:val="39"/>
    <w:unhideWhenUsed/>
    <w:qFormat/>
    <w:pPr>
      <w:tabs>
        <w:tab w:val="left" w:pos="567"/>
        <w:tab w:val="left" w:pos="993"/>
        <w:tab w:val="right" w:leader="dot" w:pos="9627"/>
      </w:tabs>
      <w:ind w:left="426" w:firstLine="0"/>
    </w:pPr>
    <w:rPr>
      <w:rFonts w:cstheme="minorHAnsi"/>
      <w:bCs/>
      <w:sz w:val="28"/>
      <w:szCs w:val="20"/>
    </w:rPr>
  </w:style>
  <w:style w:type="paragraph" w:styleId="24">
    <w:name w:val="toc 2"/>
    <w:basedOn w:val="a0"/>
    <w:next w:val="a0"/>
    <w:uiPriority w:val="39"/>
    <w:unhideWhenUsed/>
    <w:qFormat/>
    <w:pPr>
      <w:tabs>
        <w:tab w:val="left" w:pos="993"/>
        <w:tab w:val="right" w:leader="dot" w:pos="9627"/>
      </w:tabs>
      <w:ind w:left="426" w:firstLine="0"/>
    </w:pPr>
    <w:rPr>
      <w:rFonts w:cstheme="minorHAnsi"/>
      <w:iCs/>
      <w:sz w:val="28"/>
      <w:szCs w:val="20"/>
    </w:rPr>
  </w:style>
  <w:style w:type="paragraph" w:styleId="32">
    <w:name w:val="toc 3"/>
    <w:basedOn w:val="a0"/>
    <w:next w:val="a0"/>
    <w:uiPriority w:val="39"/>
    <w:unhideWhenUsed/>
    <w:qFormat/>
    <w:pPr>
      <w:ind w:left="480"/>
    </w:pPr>
    <w:rPr>
      <w:rFonts w:cstheme="minorHAnsi"/>
      <w:sz w:val="28"/>
      <w:szCs w:val="20"/>
    </w:rPr>
  </w:style>
  <w:style w:type="paragraph" w:styleId="42">
    <w:name w:val="toc 4"/>
    <w:basedOn w:val="a0"/>
    <w:next w:val="a0"/>
    <w:uiPriority w:val="39"/>
    <w:unhideWhenUsed/>
    <w:pPr>
      <w:ind w:left="720"/>
    </w:pPr>
    <w:rPr>
      <w:rFonts w:cstheme="minorHAnsi"/>
      <w:sz w:val="20"/>
      <w:szCs w:val="20"/>
    </w:rPr>
  </w:style>
  <w:style w:type="paragraph" w:styleId="52">
    <w:name w:val="toc 5"/>
    <w:basedOn w:val="a0"/>
    <w:next w:val="a0"/>
    <w:uiPriority w:val="39"/>
    <w:unhideWhenUsed/>
    <w:pPr>
      <w:ind w:left="960"/>
    </w:pPr>
    <w:rPr>
      <w:rFonts w:cstheme="minorHAnsi"/>
      <w:sz w:val="20"/>
      <w:szCs w:val="20"/>
    </w:rPr>
  </w:style>
  <w:style w:type="paragraph" w:styleId="61">
    <w:name w:val="toc 6"/>
    <w:basedOn w:val="a0"/>
    <w:next w:val="a0"/>
    <w:uiPriority w:val="39"/>
    <w:unhideWhenUsed/>
    <w:pPr>
      <w:ind w:left="1200"/>
    </w:pPr>
    <w:rPr>
      <w:rFonts w:cstheme="minorHAnsi"/>
      <w:sz w:val="20"/>
      <w:szCs w:val="20"/>
    </w:rPr>
  </w:style>
  <w:style w:type="paragraph" w:styleId="71">
    <w:name w:val="toc 7"/>
    <w:basedOn w:val="a0"/>
    <w:next w:val="a0"/>
    <w:uiPriority w:val="39"/>
    <w:unhideWhenUsed/>
    <w:pPr>
      <w:ind w:left="1440"/>
    </w:pPr>
    <w:rPr>
      <w:rFonts w:cstheme="minorHAnsi"/>
      <w:sz w:val="20"/>
      <w:szCs w:val="20"/>
    </w:rPr>
  </w:style>
  <w:style w:type="paragraph" w:styleId="81">
    <w:name w:val="toc 8"/>
    <w:basedOn w:val="a0"/>
    <w:next w:val="a0"/>
    <w:uiPriority w:val="39"/>
    <w:unhideWhenUsed/>
    <w:pPr>
      <w:ind w:left="1680"/>
    </w:pPr>
    <w:rPr>
      <w:rFonts w:cstheme="minorHAnsi"/>
      <w:sz w:val="20"/>
      <w:szCs w:val="20"/>
    </w:rPr>
  </w:style>
  <w:style w:type="paragraph" w:styleId="91">
    <w:name w:val="toc 9"/>
    <w:basedOn w:val="a0"/>
    <w:next w:val="a0"/>
    <w:uiPriority w:val="39"/>
    <w:unhideWhenUsed/>
    <w:pPr>
      <w:ind w:left="1920"/>
    </w:pPr>
    <w:rPr>
      <w:rFonts w:cstheme="minorHAnsi"/>
      <w:sz w:val="20"/>
      <w:szCs w:val="20"/>
    </w:rPr>
  </w:style>
  <w:style w:type="character" w:styleId="aff">
    <w:name w:val="Hyperlink"/>
    <w:basedOn w:val="a1"/>
    <w:uiPriority w:val="99"/>
    <w:unhideWhenUsed/>
    <w:rPr>
      <w:color w:val="0000FF" w:themeColor="hyperlink"/>
      <w:u w:val="single"/>
    </w:rPr>
  </w:style>
  <w:style w:type="paragraph" w:styleId="aff0">
    <w:name w:val="footnote text"/>
    <w:basedOn w:val="a0"/>
    <w:link w:val="aff1"/>
    <w:uiPriority w:val="99"/>
    <w:semiHidden/>
    <w:unhideWhenUsed/>
    <w:rPr>
      <w:sz w:val="20"/>
      <w:szCs w:val="20"/>
    </w:rPr>
  </w:style>
  <w:style w:type="character" w:customStyle="1" w:styleId="aff1">
    <w:name w:val="Текст сноски Знак"/>
    <w:basedOn w:val="a1"/>
    <w:link w:val="aff0"/>
    <w:uiPriority w:val="99"/>
    <w:semiHidden/>
    <w:rPr>
      <w:sz w:val="20"/>
      <w:szCs w:val="20"/>
    </w:rPr>
  </w:style>
  <w:style w:type="character" w:styleId="aff2">
    <w:name w:val="footnote reference"/>
    <w:basedOn w:val="a1"/>
    <w:uiPriority w:val="99"/>
    <w:semiHidden/>
    <w:unhideWhenUsed/>
    <w:rPr>
      <w:vertAlign w:val="superscript"/>
    </w:rPr>
  </w:style>
  <w:style w:type="character" w:styleId="aff3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ff4">
    <w:name w:val="annotation text"/>
    <w:basedOn w:val="a0"/>
    <w:link w:val="aff5"/>
    <w:uiPriority w:val="99"/>
    <w:unhideWhenUsed/>
    <w:rPr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Pr>
      <w:sz w:val="20"/>
      <w:szCs w:val="20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Pr>
      <w:b/>
      <w:bCs/>
      <w:sz w:val="20"/>
      <w:szCs w:val="20"/>
    </w:rPr>
  </w:style>
  <w:style w:type="table" w:styleId="aff8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Pr>
      <w:rFonts w:ascii="Times New Roman" w:hAnsi="Times New Roman"/>
      <w:sz w:val="24"/>
      <w:szCs w:val="24"/>
    </w:rPr>
  </w:style>
  <w:style w:type="paragraph" w:customStyle="1" w:styleId="aff9">
    <w:name w:val="Абзац текст"/>
    <w:basedOn w:val="a0"/>
    <w:link w:val="affa"/>
    <w:qFormat/>
    <w:pPr>
      <w:jc w:val="both"/>
    </w:pPr>
    <w:rPr>
      <w:sz w:val="28"/>
    </w:rPr>
  </w:style>
  <w:style w:type="character" w:customStyle="1" w:styleId="affa">
    <w:name w:val="Абзац текст Знак"/>
    <w:basedOn w:val="a1"/>
    <w:link w:val="aff9"/>
    <w:rPr>
      <w:sz w:val="28"/>
      <w:szCs w:val="24"/>
    </w:rPr>
  </w:style>
  <w:style w:type="numbering" w:customStyle="1" w:styleId="13">
    <w:name w:val="Нет списка1"/>
    <w:next w:val="a3"/>
    <w:uiPriority w:val="99"/>
    <w:semiHidden/>
    <w:unhideWhenUsed/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b">
    <w:name w:val="FollowedHyperlink"/>
    <w:basedOn w:val="a1"/>
    <w:uiPriority w:val="99"/>
    <w:semiHidden/>
    <w:unhideWhenUsed/>
    <w:rPr>
      <w:color w:val="800080"/>
      <w:u w:val="single"/>
    </w:rPr>
  </w:style>
  <w:style w:type="paragraph" w:customStyle="1" w:styleId="font0">
    <w:name w:val="font0"/>
    <w:basedOn w:val="a0"/>
    <w:pPr>
      <w:spacing w:before="100" w:beforeAutospacing="1" w:after="100" w:afterAutospacing="1"/>
      <w:ind w:firstLine="0"/>
    </w:pPr>
    <w:rPr>
      <w:rFonts w:ascii="Arial CYR" w:eastAsia="Times New Roman" w:hAnsi="Arial CYR" w:cs="Arial CYR"/>
      <w:sz w:val="20"/>
      <w:szCs w:val="20"/>
      <w:lang w:eastAsia="ru-RU"/>
    </w:rPr>
  </w:style>
  <w:style w:type="paragraph" w:customStyle="1" w:styleId="font1">
    <w:name w:val="font1"/>
    <w:basedOn w:val="a0"/>
    <w:pPr>
      <w:spacing w:before="100" w:beforeAutospacing="1" w:after="100" w:afterAutospacing="1"/>
      <w:ind w:firstLine="0"/>
    </w:pPr>
    <w:rPr>
      <w:rFonts w:ascii="Calibri" w:eastAsia="Times New Roman" w:hAnsi="Calibri"/>
      <w:color w:val="000000"/>
      <w:sz w:val="22"/>
      <w:szCs w:val="22"/>
      <w:lang w:eastAsia="ru-RU"/>
    </w:rPr>
  </w:style>
  <w:style w:type="paragraph" w:customStyle="1" w:styleId="font5">
    <w:name w:val="font5"/>
    <w:basedOn w:val="a0"/>
    <w:pPr>
      <w:spacing w:before="100" w:beforeAutospacing="1" w:after="100" w:afterAutospacing="1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font6">
    <w:name w:val="font6"/>
    <w:basedOn w:val="a0"/>
    <w:pPr>
      <w:spacing w:before="100" w:beforeAutospacing="1" w:after="100" w:afterAutospacing="1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7">
    <w:name w:val="font7"/>
    <w:basedOn w:val="a0"/>
    <w:pPr>
      <w:spacing w:before="100" w:beforeAutospacing="1" w:after="100" w:afterAutospacing="1"/>
      <w:ind w:firstLine="0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font8">
    <w:name w:val="font8"/>
    <w:basedOn w:val="a0"/>
    <w:pPr>
      <w:spacing w:before="100" w:beforeAutospacing="1" w:after="100" w:afterAutospacing="1"/>
      <w:ind w:firstLine="0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customStyle="1" w:styleId="font9">
    <w:name w:val="font9"/>
    <w:basedOn w:val="a0"/>
    <w:pPr>
      <w:spacing w:before="100" w:beforeAutospacing="1" w:after="100" w:afterAutospacing="1"/>
      <w:ind w:firstLine="0"/>
    </w:pPr>
    <w:rPr>
      <w:rFonts w:ascii="Arial" w:eastAsia="Times New Roman" w:hAnsi="Arial" w:cs="Arial"/>
      <w:sz w:val="20"/>
      <w:szCs w:val="20"/>
      <w:u w:val="single"/>
      <w:lang w:eastAsia="ru-RU"/>
    </w:rPr>
  </w:style>
  <w:style w:type="paragraph" w:customStyle="1" w:styleId="font10">
    <w:name w:val="font10"/>
    <w:basedOn w:val="a0"/>
    <w:pPr>
      <w:spacing w:before="100" w:beforeAutospacing="1" w:after="100" w:afterAutospacing="1"/>
      <w:ind w:firstLine="0"/>
    </w:pPr>
    <w:rPr>
      <w:rFonts w:ascii="Calibri" w:eastAsia="Times New Roman" w:hAnsi="Calibri"/>
      <w:b/>
      <w:bCs/>
      <w:color w:val="000000"/>
      <w:sz w:val="22"/>
      <w:szCs w:val="22"/>
      <w:lang w:eastAsia="ru-RU"/>
    </w:rPr>
  </w:style>
  <w:style w:type="paragraph" w:customStyle="1" w:styleId="font11">
    <w:name w:val="font11"/>
    <w:basedOn w:val="a0"/>
    <w:pPr>
      <w:spacing w:before="100" w:beforeAutospacing="1" w:after="100" w:afterAutospacing="1"/>
      <w:ind w:firstLine="0"/>
    </w:pPr>
    <w:rPr>
      <w:rFonts w:ascii="Arial CYR" w:eastAsia="Times New Roman" w:hAnsi="Arial CYR" w:cs="Arial CYR"/>
      <w:i/>
      <w:iCs/>
      <w:sz w:val="20"/>
      <w:szCs w:val="20"/>
      <w:lang w:eastAsia="ru-RU"/>
    </w:rPr>
  </w:style>
  <w:style w:type="paragraph" w:customStyle="1" w:styleId="xl66">
    <w:name w:val="xl66"/>
    <w:basedOn w:val="a0"/>
    <w:pP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67">
    <w:name w:val="xl6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68">
    <w:name w:val="xl68"/>
    <w:basedOn w:val="a0"/>
    <w:pPr>
      <w:spacing w:before="100" w:beforeAutospacing="1" w:after="100" w:afterAutospacing="1"/>
      <w:ind w:firstLine="0"/>
    </w:pPr>
    <w:rPr>
      <w:rFonts w:ascii="Arial" w:eastAsia="Times New Roman" w:hAnsi="Arial" w:cs="Arial"/>
      <w:b/>
      <w:bCs/>
      <w:lang w:eastAsia="ru-RU"/>
    </w:rPr>
  </w:style>
  <w:style w:type="paragraph" w:customStyle="1" w:styleId="xl69">
    <w:name w:val="xl69"/>
    <w:basedOn w:val="a0"/>
    <w:pP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70">
    <w:name w:val="xl70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71">
    <w:name w:val="xl71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72">
    <w:name w:val="xl72"/>
    <w:basedOn w:val="a0"/>
    <w:pPr>
      <w:spacing w:before="100" w:beforeAutospacing="1" w:after="100" w:afterAutospacing="1"/>
      <w:ind w:firstLine="0"/>
    </w:pPr>
    <w:rPr>
      <w:rFonts w:ascii="Arial" w:eastAsia="Times New Roman" w:hAnsi="Arial" w:cs="Arial"/>
      <w:color w:val="0070C0"/>
      <w:lang w:eastAsia="ru-RU"/>
    </w:rPr>
  </w:style>
  <w:style w:type="paragraph" w:customStyle="1" w:styleId="xl73">
    <w:name w:val="xl73"/>
    <w:basedOn w:val="a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lang w:eastAsia="ru-RU"/>
    </w:rPr>
  </w:style>
  <w:style w:type="paragraph" w:customStyle="1" w:styleId="xl74">
    <w:name w:val="xl74"/>
    <w:basedOn w:val="a0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lang w:eastAsia="ru-RU"/>
    </w:rPr>
  </w:style>
  <w:style w:type="paragraph" w:customStyle="1" w:styleId="xl75">
    <w:name w:val="xl75"/>
    <w:basedOn w:val="a0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lang w:eastAsia="ru-RU"/>
    </w:rPr>
  </w:style>
  <w:style w:type="paragraph" w:customStyle="1" w:styleId="xl76">
    <w:name w:val="xl7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b/>
      <w:bCs/>
      <w:i/>
      <w:iCs/>
      <w:lang w:eastAsia="ru-RU"/>
    </w:rPr>
  </w:style>
  <w:style w:type="paragraph" w:customStyle="1" w:styleId="xl77">
    <w:name w:val="xl77"/>
    <w:basedOn w:val="a0"/>
    <w:pPr>
      <w:spacing w:before="100" w:beforeAutospacing="1" w:after="100" w:afterAutospacing="1"/>
      <w:ind w:firstLine="0"/>
    </w:pPr>
    <w:rPr>
      <w:rFonts w:ascii="Arial" w:eastAsia="Times New Roman" w:hAnsi="Arial" w:cs="Arial"/>
      <w:b/>
      <w:bCs/>
      <w:i/>
      <w:iCs/>
      <w:lang w:eastAsia="ru-RU"/>
    </w:rPr>
  </w:style>
  <w:style w:type="paragraph" w:customStyle="1" w:styleId="xl78">
    <w:name w:val="xl7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i/>
      <w:iCs/>
      <w:lang w:eastAsia="ru-RU"/>
    </w:rPr>
  </w:style>
  <w:style w:type="paragraph" w:customStyle="1" w:styleId="xl79">
    <w:name w:val="xl7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rFonts w:ascii="Arial" w:eastAsia="Times New Roman" w:hAnsi="Arial" w:cs="Arial"/>
      <w:lang w:eastAsia="ru-RU"/>
    </w:rPr>
  </w:style>
  <w:style w:type="paragraph" w:customStyle="1" w:styleId="xl80">
    <w:name w:val="xl80"/>
    <w:basedOn w:val="a0"/>
    <w:pPr>
      <w:pBdr>
        <w:top w:val="single" w:sz="4" w:space="0" w:color="000000"/>
        <w:left w:val="single" w:sz="4" w:space="18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81">
    <w:name w:val="xl81"/>
    <w:basedOn w:val="a0"/>
    <w:pPr>
      <w:pBdr>
        <w:top w:val="single" w:sz="4" w:space="0" w:color="000000"/>
        <w:left w:val="single" w:sz="4" w:space="18" w:color="000000"/>
        <w:right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82">
    <w:name w:val="xl82"/>
    <w:basedOn w:val="a0"/>
    <w:pPr>
      <w:pBdr>
        <w:top w:val="single" w:sz="4" w:space="0" w:color="000000"/>
        <w:left w:val="single" w:sz="4" w:space="31" w:color="000000"/>
        <w:right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83">
    <w:name w:val="xl83"/>
    <w:basedOn w:val="a0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84">
    <w:name w:val="xl84"/>
    <w:basedOn w:val="a0"/>
    <w:pPr>
      <w:spacing w:before="100" w:beforeAutospacing="1" w:after="100" w:afterAutospacing="1"/>
      <w:ind w:firstLine="0"/>
    </w:pPr>
    <w:rPr>
      <w:rFonts w:ascii="Arial" w:eastAsia="Times New Roman" w:hAnsi="Arial" w:cs="Arial"/>
      <w:b/>
      <w:bCs/>
      <w:lang w:eastAsia="ru-RU"/>
    </w:rPr>
  </w:style>
  <w:style w:type="paragraph" w:customStyle="1" w:styleId="xl85">
    <w:name w:val="xl85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lang w:eastAsia="ru-RU"/>
    </w:rPr>
  </w:style>
  <w:style w:type="paragraph" w:customStyle="1" w:styleId="xl86">
    <w:name w:val="xl8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i/>
      <w:iCs/>
      <w:lang w:eastAsia="ru-RU"/>
    </w:rPr>
  </w:style>
  <w:style w:type="paragraph" w:customStyle="1" w:styleId="xl87">
    <w:name w:val="xl8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b/>
      <w:bCs/>
      <w:lang w:eastAsia="ru-RU"/>
    </w:rPr>
  </w:style>
  <w:style w:type="paragraph" w:customStyle="1" w:styleId="xl88">
    <w:name w:val="xl8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b/>
      <w:bCs/>
      <w:lang w:eastAsia="ru-RU"/>
    </w:rPr>
  </w:style>
  <w:style w:type="paragraph" w:customStyle="1" w:styleId="xl89">
    <w:name w:val="xl89"/>
    <w:basedOn w:val="a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b/>
      <w:bCs/>
      <w:lang w:eastAsia="ru-RU"/>
    </w:rPr>
  </w:style>
  <w:style w:type="paragraph" w:customStyle="1" w:styleId="xl90">
    <w:name w:val="xl90"/>
    <w:basedOn w:val="a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b/>
      <w:bCs/>
      <w:lang w:eastAsia="ru-RU"/>
    </w:rPr>
  </w:style>
  <w:style w:type="paragraph" w:customStyle="1" w:styleId="xl91">
    <w:name w:val="xl91"/>
    <w:basedOn w:val="a0"/>
    <w:pPr>
      <w:pBdr>
        <w:left w:val="single" w:sz="4" w:space="0" w:color="000000"/>
      </w:pBdr>
      <w:spacing w:before="100" w:beforeAutospacing="1" w:after="100" w:afterAutospacing="1"/>
      <w:ind w:firstLine="0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92">
    <w:name w:val="xl92"/>
    <w:basedOn w:val="a0"/>
    <w:pPr>
      <w:pBdr>
        <w:left w:val="single" w:sz="4" w:space="0" w:color="000000"/>
      </w:pBdr>
      <w:spacing w:before="100" w:beforeAutospacing="1" w:after="100" w:afterAutospacing="1"/>
      <w:ind w:firstLine="0"/>
      <w:jc w:val="right"/>
    </w:pPr>
    <w:rPr>
      <w:rFonts w:ascii="Arial" w:eastAsia="Times New Roman" w:hAnsi="Arial" w:cs="Arial"/>
      <w:i/>
      <w:iCs/>
      <w:lang w:eastAsia="ru-RU"/>
    </w:rPr>
  </w:style>
  <w:style w:type="paragraph" w:customStyle="1" w:styleId="xl93">
    <w:name w:val="xl93"/>
    <w:basedOn w:val="a0"/>
    <w:pPr>
      <w:pBdr>
        <w:left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94">
    <w:name w:val="xl9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b/>
      <w:bCs/>
      <w:lang w:eastAsia="ru-RU"/>
    </w:rPr>
  </w:style>
  <w:style w:type="paragraph" w:customStyle="1" w:styleId="xl95">
    <w:name w:val="xl95"/>
    <w:basedOn w:val="a0"/>
    <w:pP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i/>
      <w:iCs/>
      <w:lang w:eastAsia="ru-RU"/>
    </w:rPr>
  </w:style>
  <w:style w:type="paragraph" w:customStyle="1" w:styleId="xl96">
    <w:name w:val="xl96"/>
    <w:basedOn w:val="a0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lang w:eastAsia="ru-RU"/>
    </w:rPr>
  </w:style>
  <w:style w:type="paragraph" w:customStyle="1" w:styleId="xl97">
    <w:name w:val="xl97"/>
    <w:basedOn w:val="a0"/>
    <w:pPr>
      <w:pBdr>
        <w:top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lang w:eastAsia="ru-RU"/>
    </w:rPr>
  </w:style>
  <w:style w:type="paragraph" w:customStyle="1" w:styleId="xl98">
    <w:name w:val="xl98"/>
    <w:basedOn w:val="a0"/>
    <w:pPr>
      <w:pBdr>
        <w:top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lang w:eastAsia="ru-RU"/>
    </w:rPr>
  </w:style>
  <w:style w:type="paragraph" w:customStyle="1" w:styleId="xl99">
    <w:name w:val="xl99"/>
    <w:basedOn w:val="a0"/>
    <w:pP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100">
    <w:name w:val="xl100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101">
    <w:name w:val="xl101"/>
    <w:basedOn w:val="a0"/>
    <w:pPr>
      <w:spacing w:before="100" w:beforeAutospacing="1" w:after="100" w:afterAutospacing="1"/>
      <w:ind w:firstLine="0"/>
    </w:pPr>
    <w:rPr>
      <w:rFonts w:ascii="Arial" w:eastAsia="Times New Roman" w:hAnsi="Arial" w:cs="Arial"/>
      <w:i/>
      <w:iCs/>
      <w:lang w:eastAsia="ru-RU"/>
    </w:rPr>
  </w:style>
  <w:style w:type="paragraph" w:customStyle="1" w:styleId="xl102">
    <w:name w:val="xl10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b/>
      <w:bCs/>
      <w:lang w:eastAsia="ru-RU"/>
    </w:rPr>
  </w:style>
  <w:style w:type="paragraph" w:customStyle="1" w:styleId="xl103">
    <w:name w:val="xl103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104">
    <w:name w:val="xl104"/>
    <w:basedOn w:val="a0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lang w:eastAsia="ru-RU"/>
    </w:rPr>
  </w:style>
  <w:style w:type="paragraph" w:customStyle="1" w:styleId="xl105">
    <w:name w:val="xl105"/>
    <w:basedOn w:val="a0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lang w:eastAsia="ru-RU"/>
    </w:rPr>
  </w:style>
  <w:style w:type="paragraph" w:customStyle="1" w:styleId="xl106">
    <w:name w:val="xl106"/>
    <w:basedOn w:val="a0"/>
    <w:pPr>
      <w:pBdr>
        <w:left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107">
    <w:name w:val="xl107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lang w:eastAsia="ru-RU"/>
    </w:rPr>
  </w:style>
  <w:style w:type="paragraph" w:customStyle="1" w:styleId="xl108">
    <w:name w:val="xl108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109">
    <w:name w:val="xl10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lang w:eastAsia="ru-RU"/>
    </w:rPr>
  </w:style>
  <w:style w:type="paragraph" w:customStyle="1" w:styleId="xl110">
    <w:name w:val="xl110"/>
    <w:basedOn w:val="a0"/>
    <w:pP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111">
    <w:name w:val="xl111"/>
    <w:basedOn w:val="a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112">
    <w:name w:val="xl112"/>
    <w:basedOn w:val="a0"/>
    <w:pPr>
      <w:pBdr>
        <w:top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113">
    <w:name w:val="xl113"/>
    <w:basedOn w:val="a0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114">
    <w:name w:val="xl114"/>
    <w:basedOn w:val="a0"/>
    <w:pPr>
      <w:pBdr>
        <w:left w:val="single" w:sz="4" w:space="0" w:color="000000"/>
      </w:pBdr>
      <w:spacing w:before="100" w:beforeAutospacing="1" w:after="100" w:afterAutospacing="1"/>
      <w:ind w:firstLine="0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15">
    <w:name w:val="xl115"/>
    <w:basedOn w:val="a0"/>
    <w:pPr>
      <w:pBdr>
        <w:left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116">
    <w:name w:val="xl116"/>
    <w:basedOn w:val="a0"/>
    <w:pP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117">
    <w:name w:val="xl117"/>
    <w:basedOn w:val="a0"/>
    <w:pPr>
      <w:pBdr>
        <w:right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118">
    <w:name w:val="xl118"/>
    <w:basedOn w:val="a0"/>
    <w:pPr>
      <w:pBdr>
        <w:left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119">
    <w:name w:val="xl119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120">
    <w:name w:val="xl120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121">
    <w:name w:val="xl121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122">
    <w:name w:val="xl122"/>
    <w:basedOn w:val="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i/>
      <w:iCs/>
      <w:lang w:eastAsia="ru-RU"/>
    </w:rPr>
  </w:style>
  <w:style w:type="paragraph" w:customStyle="1" w:styleId="xl123">
    <w:name w:val="xl123"/>
    <w:basedOn w:val="a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lang w:eastAsia="ru-RU"/>
    </w:rPr>
  </w:style>
  <w:style w:type="paragraph" w:customStyle="1" w:styleId="xl124">
    <w:name w:val="xl124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lang w:eastAsia="ru-RU"/>
    </w:rPr>
  </w:style>
  <w:style w:type="paragraph" w:customStyle="1" w:styleId="xl125">
    <w:name w:val="xl125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lang w:eastAsia="ru-RU"/>
    </w:rPr>
  </w:style>
  <w:style w:type="paragraph" w:customStyle="1" w:styleId="xl126">
    <w:name w:val="xl126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lang w:eastAsia="ru-RU"/>
    </w:rPr>
  </w:style>
  <w:style w:type="paragraph" w:customStyle="1" w:styleId="xl127">
    <w:name w:val="xl127"/>
    <w:basedOn w:val="a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i/>
      <w:iCs/>
      <w:lang w:eastAsia="ru-RU"/>
    </w:rPr>
  </w:style>
  <w:style w:type="paragraph" w:customStyle="1" w:styleId="xl128">
    <w:name w:val="xl128"/>
    <w:basedOn w:val="a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i/>
      <w:iCs/>
      <w:lang w:eastAsia="ru-RU"/>
    </w:rPr>
  </w:style>
  <w:style w:type="paragraph" w:customStyle="1" w:styleId="xl129">
    <w:name w:val="xl129"/>
    <w:basedOn w:val="a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i/>
      <w:iCs/>
      <w:lang w:eastAsia="ru-RU"/>
    </w:rPr>
  </w:style>
  <w:style w:type="paragraph" w:customStyle="1" w:styleId="xl130">
    <w:name w:val="xl130"/>
    <w:basedOn w:val="a0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lang w:eastAsia="ru-RU"/>
    </w:rPr>
  </w:style>
  <w:style w:type="paragraph" w:customStyle="1" w:styleId="xl131">
    <w:name w:val="xl131"/>
    <w:basedOn w:val="a0"/>
    <w:pPr>
      <w:spacing w:before="100" w:beforeAutospacing="1" w:after="100" w:afterAutospacing="1"/>
      <w:ind w:firstLine="0"/>
    </w:pPr>
    <w:rPr>
      <w:rFonts w:ascii="Arial" w:eastAsia="Times New Roman" w:hAnsi="Arial" w:cs="Arial"/>
      <w:b/>
      <w:bCs/>
      <w:lang w:eastAsia="ru-RU"/>
    </w:rPr>
  </w:style>
  <w:style w:type="paragraph" w:customStyle="1" w:styleId="xl132">
    <w:name w:val="xl132"/>
    <w:basedOn w:val="a0"/>
    <w:pPr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lang w:eastAsia="ru-RU"/>
    </w:rPr>
  </w:style>
  <w:style w:type="paragraph" w:customStyle="1" w:styleId="xl133">
    <w:name w:val="xl133"/>
    <w:basedOn w:val="a0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lang w:eastAsia="ru-RU"/>
    </w:rPr>
  </w:style>
  <w:style w:type="paragraph" w:customStyle="1" w:styleId="xl134">
    <w:name w:val="xl134"/>
    <w:basedOn w:val="a0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lang w:eastAsia="ru-RU"/>
    </w:rPr>
  </w:style>
  <w:style w:type="paragraph" w:customStyle="1" w:styleId="xl135">
    <w:name w:val="xl135"/>
    <w:basedOn w:val="a0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lang w:eastAsia="ru-RU"/>
    </w:rPr>
  </w:style>
  <w:style w:type="paragraph" w:customStyle="1" w:styleId="xl136">
    <w:name w:val="xl136"/>
    <w:basedOn w:val="a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137">
    <w:name w:val="xl137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138">
    <w:name w:val="xl138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139">
    <w:name w:val="xl139"/>
    <w:basedOn w:val="a0"/>
    <w:pP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140">
    <w:name w:val="xl140"/>
    <w:basedOn w:val="a0"/>
    <w:pPr>
      <w:pBdr>
        <w:right w:val="single" w:sz="4" w:space="0" w:color="000000"/>
      </w:pBdr>
      <w:spacing w:before="100" w:beforeAutospacing="1" w:after="100" w:afterAutospacing="1"/>
      <w:ind w:firstLine="0"/>
    </w:pPr>
    <w:rPr>
      <w:rFonts w:ascii="Arial" w:eastAsia="Times New Roman" w:hAnsi="Arial" w:cs="Arial"/>
      <w:lang w:eastAsia="ru-RU"/>
    </w:rPr>
  </w:style>
  <w:style w:type="paragraph" w:customStyle="1" w:styleId="xl141">
    <w:name w:val="xl141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ind w:firstLine="0"/>
    </w:pPr>
    <w:rPr>
      <w:rFonts w:ascii="Times New Roman" w:eastAsia="Times New Roman" w:hAnsi="Times New Roman"/>
      <w:lang w:eastAsia="ru-RU"/>
    </w:rPr>
  </w:style>
  <w:style w:type="paragraph" w:customStyle="1" w:styleId="xl142">
    <w:name w:val="xl142"/>
    <w:basedOn w:val="a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</w:pPr>
    <w:rPr>
      <w:rFonts w:ascii="Times New Roman" w:eastAsia="Times New Roman" w:hAnsi="Times New Roman"/>
      <w:lang w:eastAsia="ru-RU"/>
    </w:rPr>
  </w:style>
  <w:style w:type="paragraph" w:customStyle="1" w:styleId="xl65">
    <w:name w:val="xl65"/>
    <w:basedOn w:val="a0"/>
    <w:pPr>
      <w:spacing w:before="100" w:beforeAutospacing="1" w:after="100" w:afterAutospacing="1"/>
      <w:ind w:firstLine="0"/>
    </w:pPr>
    <w:rPr>
      <w:rFonts w:ascii="Times New Roman" w:eastAsia="Times New Roman" w:hAnsi="Times New Roman"/>
      <w:lang w:eastAsia="ru-RU"/>
    </w:rPr>
  </w:style>
  <w:style w:type="paragraph" w:customStyle="1" w:styleId="xl143">
    <w:name w:val="xl143"/>
    <w:basedOn w:val="a0"/>
    <w:pPr>
      <w:pBdr>
        <w:top w:val="single" w:sz="8" w:space="0" w:color="000000"/>
        <w:bottom w:val="single" w:sz="8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lang w:eastAsia="ru-RU"/>
    </w:rPr>
  </w:style>
  <w:style w:type="paragraph" w:customStyle="1" w:styleId="xl144">
    <w:name w:val="xl144"/>
    <w:basedOn w:val="a0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lang w:eastAsia="ru-RU"/>
    </w:rPr>
  </w:style>
  <w:style w:type="paragraph" w:customStyle="1" w:styleId="xl145">
    <w:name w:val="xl145"/>
    <w:basedOn w:val="a0"/>
    <w:pPr>
      <w:pBdr>
        <w:top w:val="single" w:sz="8" w:space="0" w:color="000000"/>
        <w:left w:val="single" w:sz="8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lang w:eastAsia="ru-RU"/>
    </w:rPr>
  </w:style>
  <w:style w:type="paragraph" w:customStyle="1" w:styleId="xl146">
    <w:name w:val="xl146"/>
    <w:basedOn w:val="a0"/>
    <w:pPr>
      <w:pBdr>
        <w:top w:val="single" w:sz="8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lang w:eastAsia="ru-RU"/>
    </w:rPr>
  </w:style>
  <w:style w:type="paragraph" w:customStyle="1" w:styleId="xl147">
    <w:name w:val="xl147"/>
    <w:basedOn w:val="a0"/>
    <w:pPr>
      <w:pBdr>
        <w:top w:val="single" w:sz="8" w:space="0" w:color="000000"/>
        <w:right w:val="single" w:sz="8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lang w:eastAsia="ru-RU"/>
    </w:rPr>
  </w:style>
  <w:style w:type="paragraph" w:customStyle="1" w:styleId="xl148">
    <w:name w:val="xl148"/>
    <w:basedOn w:val="a0"/>
    <w:pPr>
      <w:pBdr>
        <w:left w:val="single" w:sz="8" w:space="0" w:color="000000"/>
        <w:bottom w:val="single" w:sz="8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lang w:eastAsia="ru-RU"/>
    </w:rPr>
  </w:style>
  <w:style w:type="paragraph" w:customStyle="1" w:styleId="xl149">
    <w:name w:val="xl149"/>
    <w:basedOn w:val="a0"/>
    <w:pPr>
      <w:pBdr>
        <w:bottom w:val="single" w:sz="8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lang w:eastAsia="ru-RU"/>
    </w:rPr>
  </w:style>
  <w:style w:type="paragraph" w:customStyle="1" w:styleId="xl150">
    <w:name w:val="xl150"/>
    <w:basedOn w:val="a0"/>
    <w:pPr>
      <w:pBdr>
        <w:bottom w:val="single" w:sz="8" w:space="0" w:color="000000"/>
        <w:right w:val="single" w:sz="8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lang w:eastAsia="ru-RU"/>
    </w:rPr>
  </w:style>
  <w:style w:type="paragraph" w:customStyle="1" w:styleId="xl151">
    <w:name w:val="xl151"/>
    <w:basedOn w:val="a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lang w:eastAsia="ru-RU"/>
    </w:rPr>
  </w:style>
  <w:style w:type="paragraph" w:customStyle="1" w:styleId="xl152">
    <w:name w:val="xl152"/>
    <w:basedOn w:val="a0"/>
    <w:pPr>
      <w:pBdr>
        <w:top w:val="single" w:sz="4" w:space="0" w:color="000000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lang w:eastAsia="ru-RU"/>
    </w:rPr>
  </w:style>
  <w:style w:type="paragraph" w:customStyle="1" w:styleId="xl153">
    <w:name w:val="xl153"/>
    <w:basedOn w:val="a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lang w:eastAsia="ru-RU"/>
    </w:rPr>
  </w:style>
  <w:style w:type="paragraph" w:customStyle="1" w:styleId="xl154">
    <w:name w:val="xl154"/>
    <w:basedOn w:val="a0"/>
    <w:pPr>
      <w:pBdr>
        <w:bottom w:val="single" w:sz="4" w:space="0" w:color="000000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lang w:eastAsia="ru-RU"/>
    </w:rPr>
  </w:style>
  <w:style w:type="paragraph" w:customStyle="1" w:styleId="xl155">
    <w:name w:val="xl155"/>
    <w:basedOn w:val="a0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lang w:eastAsia="ru-RU"/>
    </w:rPr>
  </w:style>
  <w:style w:type="paragraph" w:customStyle="1" w:styleId="xl156">
    <w:name w:val="xl156"/>
    <w:basedOn w:val="a0"/>
    <w:pPr>
      <w:pBdr>
        <w:top w:val="single" w:sz="8" w:space="0" w:color="000000"/>
        <w:bottom w:val="single" w:sz="8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lang w:eastAsia="ru-RU"/>
    </w:rPr>
  </w:style>
  <w:style w:type="paragraph" w:customStyle="1" w:styleId="xl157">
    <w:name w:val="xl157"/>
    <w:basedOn w:val="a0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lang w:eastAsia="ru-RU"/>
    </w:rPr>
  </w:style>
  <w:style w:type="paragraph" w:customStyle="1" w:styleId="xl158">
    <w:name w:val="xl158"/>
    <w:basedOn w:val="a0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lang w:eastAsia="ru-RU"/>
    </w:rPr>
  </w:style>
  <w:style w:type="paragraph" w:customStyle="1" w:styleId="xl159">
    <w:name w:val="xl159"/>
    <w:basedOn w:val="a0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lang w:eastAsia="ru-RU"/>
    </w:rPr>
  </w:style>
  <w:style w:type="paragraph" w:customStyle="1" w:styleId="xl160">
    <w:name w:val="xl160"/>
    <w:basedOn w:val="a0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/>
      <w:lang w:eastAsia="ru-RU"/>
    </w:rPr>
  </w:style>
  <w:style w:type="paragraph" w:customStyle="1" w:styleId="xl161">
    <w:name w:val="xl161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ind w:firstLine="0"/>
    </w:pPr>
    <w:rPr>
      <w:rFonts w:ascii="Times New Roman" w:eastAsia="Times New Roman" w:hAnsi="Times New Roman"/>
      <w:lang w:eastAsia="ru-RU"/>
    </w:rPr>
  </w:style>
  <w:style w:type="paragraph" w:customStyle="1" w:styleId="xl162">
    <w:name w:val="xl162"/>
    <w:basedOn w:val="a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ind w:firstLine="0"/>
    </w:pPr>
    <w:rPr>
      <w:rFonts w:ascii="Times New Roman" w:eastAsia="Times New Roman" w:hAnsi="Times New Roman"/>
      <w:lang w:eastAsia="ru-RU"/>
    </w:rPr>
  </w:style>
  <w:style w:type="character" w:styleId="affc">
    <w:name w:val="line number"/>
    <w:basedOn w:val="a1"/>
    <w:uiPriority w:val="99"/>
    <w:semiHidden/>
    <w:unhideWhenUsed/>
  </w:style>
  <w:style w:type="character" w:customStyle="1" w:styleId="affd">
    <w:name w:val="Перечень Знак"/>
    <w:basedOn w:val="a1"/>
    <w:link w:val="affe"/>
    <w:uiPriority w:val="99"/>
  </w:style>
  <w:style w:type="paragraph" w:customStyle="1" w:styleId="affe">
    <w:name w:val="Перечень"/>
    <w:basedOn w:val="a0"/>
    <w:link w:val="affd"/>
    <w:uiPriority w:val="99"/>
    <w:qFormat/>
    <w:pPr>
      <w:ind w:firstLine="0"/>
      <w:jc w:val="both"/>
    </w:pPr>
    <w:rPr>
      <w:sz w:val="22"/>
      <w:szCs w:val="22"/>
    </w:rPr>
  </w:style>
  <w:style w:type="paragraph" w:customStyle="1" w:styleId="afff">
    <w:name w:val="Абзац"/>
    <w:basedOn w:val="a0"/>
    <w:link w:val="afff0"/>
    <w:qFormat/>
    <w:pPr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ff0">
    <w:name w:val="Абзац Знак"/>
    <w:link w:val="afff"/>
    <w:rPr>
      <w:rFonts w:ascii="Times New Roman" w:eastAsia="Times New Roman" w:hAnsi="Times New Roman"/>
      <w:sz w:val="28"/>
      <w:szCs w:val="20"/>
    </w:rPr>
  </w:style>
  <w:style w:type="paragraph" w:customStyle="1" w:styleId="0">
    <w:name w:val="Заголовок 0"/>
    <w:basedOn w:val="a0"/>
    <w:uiPriority w:val="99"/>
    <w:pPr>
      <w:ind w:firstLine="0"/>
      <w:jc w:val="right"/>
      <w:outlineLvl w:val="0"/>
    </w:pPr>
    <w:rPr>
      <w:rFonts w:ascii="Times New Roman" w:eastAsia="Times New Roman" w:hAnsi="Times New Roman"/>
      <w:sz w:val="28"/>
      <w:szCs w:val="32"/>
      <w:lang w:eastAsia="ru-RU"/>
    </w:rPr>
  </w:style>
  <w:style w:type="paragraph" w:styleId="afff1">
    <w:name w:val="Revision"/>
    <w:hidden/>
    <w:uiPriority w:val="99"/>
    <w:semiHidden/>
    <w:rPr>
      <w:sz w:val="24"/>
      <w:szCs w:val="24"/>
    </w:rPr>
  </w:style>
  <w:style w:type="character" w:customStyle="1" w:styleId="w">
    <w:name w:val="w"/>
    <w:basedOn w:val="a1"/>
  </w:style>
  <w:style w:type="character" w:customStyle="1" w:styleId="apple-converted-space">
    <w:name w:val="apple-converted-space"/>
    <w:basedOn w:val="a1"/>
  </w:style>
  <w:style w:type="paragraph" w:customStyle="1" w:styleId="ConsPlusTitle">
    <w:name w:val="ConsPlusTitle"/>
    <w:pPr>
      <w:widowControl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4">
    <w:name w:val="Абзац списка1"/>
    <w:basedOn w:val="a0"/>
    <w:qFormat/>
    <w:pPr>
      <w:ind w:left="720" w:firstLine="0"/>
      <w:jc w:val="both"/>
    </w:pPr>
    <w:rPr>
      <w:rFonts w:ascii="Times New Roman" w:eastAsia="Times New Roman" w:hAnsi="Times New Roman" w:cs="Calibri"/>
      <w:sz w:val="28"/>
      <w:szCs w:val="22"/>
    </w:rPr>
  </w:style>
  <w:style w:type="paragraph" w:customStyle="1" w:styleId="15">
    <w:name w:val="Перечень_1"/>
    <w:basedOn w:val="a0"/>
    <w:link w:val="16"/>
    <w:qFormat/>
    <w:pPr>
      <w:tabs>
        <w:tab w:val="left" w:pos="993"/>
      </w:tabs>
      <w:jc w:val="both"/>
    </w:pPr>
    <w:rPr>
      <w:rFonts w:ascii="Times New Roman" w:eastAsia="Times New Roman" w:hAnsi="Times New Roman"/>
      <w:sz w:val="28"/>
      <w:lang w:eastAsia="ru-RU"/>
    </w:rPr>
  </w:style>
  <w:style w:type="paragraph" w:styleId="afff2">
    <w:name w:val="Normal Indent"/>
    <w:basedOn w:val="a0"/>
    <w:uiPriority w:val="99"/>
    <w:pPr>
      <w:ind w:left="708" w:firstLine="0"/>
    </w:pPr>
    <w:rPr>
      <w:rFonts w:ascii="Times New Roman" w:eastAsia="Times New Roman" w:hAnsi="Times New Roman" w:cs="Calibri"/>
      <w:sz w:val="28"/>
      <w:szCs w:val="22"/>
    </w:rPr>
  </w:style>
  <w:style w:type="character" w:customStyle="1" w:styleId="16">
    <w:name w:val="Перечень_1 Знак"/>
    <w:link w:val="15"/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5">
    <w:name w:val="2_Перечень"/>
    <w:basedOn w:val="a0"/>
    <w:link w:val="26"/>
    <w:qFormat/>
    <w:pPr>
      <w:widowControl w:val="0"/>
      <w:tabs>
        <w:tab w:val="num" w:pos="780"/>
      </w:tabs>
      <w:ind w:left="1134" w:hanging="142"/>
      <w:jc w:val="both"/>
    </w:pPr>
    <w:rPr>
      <w:rFonts w:ascii="Times New Roman" w:eastAsia="Calibri" w:hAnsi="Times New Roman"/>
      <w:color w:val="000000"/>
      <w:sz w:val="28"/>
      <w:szCs w:val="28"/>
      <w:lang w:eastAsia="ru-RU"/>
    </w:rPr>
  </w:style>
  <w:style w:type="character" w:customStyle="1" w:styleId="26">
    <w:name w:val="2_Перечень Знак"/>
    <w:basedOn w:val="a1"/>
    <w:link w:val="25"/>
    <w:rPr>
      <w:rFonts w:ascii="Times New Roman" w:eastAsia="Calibri" w:hAnsi="Times New Roman"/>
      <w:color w:val="000000"/>
      <w:sz w:val="28"/>
      <w:szCs w:val="28"/>
      <w:lang w:eastAsia="ru-RU"/>
    </w:rPr>
  </w:style>
  <w:style w:type="paragraph" w:customStyle="1" w:styleId="afff3">
    <w:name w:val="Выделение_"/>
    <w:basedOn w:val="a0"/>
    <w:link w:val="afff4"/>
    <w:qFormat/>
    <w:pPr>
      <w:keepNext/>
      <w:tabs>
        <w:tab w:val="num" w:pos="780"/>
      </w:tabs>
      <w:spacing w:before="120"/>
      <w:jc w:val="both"/>
    </w:pPr>
    <w:rPr>
      <w:rFonts w:ascii="Times New Roman" w:eastAsia="Calibri" w:hAnsi="Times New Roman" w:cs="Calibri"/>
      <w:b/>
      <w:sz w:val="28"/>
      <w:szCs w:val="22"/>
    </w:rPr>
  </w:style>
  <w:style w:type="character" w:customStyle="1" w:styleId="afff4">
    <w:name w:val="Выделение_ Знак"/>
    <w:basedOn w:val="a1"/>
    <w:link w:val="afff3"/>
    <w:rPr>
      <w:rFonts w:ascii="Times New Roman" w:eastAsia="Calibri" w:hAnsi="Times New Roman" w:cs="Calibri"/>
      <w:b/>
      <w:sz w:val="28"/>
    </w:rPr>
  </w:style>
  <w:style w:type="paragraph" w:customStyle="1" w:styleId="Default">
    <w:name w:val="Default"/>
    <w:rPr>
      <w:rFonts w:ascii="Arial" w:hAnsi="Arial" w:cs="Arial"/>
      <w:color w:val="000000"/>
      <w:sz w:val="24"/>
      <w:szCs w:val="24"/>
    </w:rPr>
  </w:style>
  <w:style w:type="character" w:customStyle="1" w:styleId="afff5">
    <w:name w:val="Основной текст_"/>
    <w:basedOn w:val="a1"/>
    <w:link w:val="27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7">
    <w:name w:val="Основной текст2"/>
    <w:basedOn w:val="a0"/>
    <w:link w:val="afff5"/>
    <w:pPr>
      <w:widowControl w:val="0"/>
      <w:shd w:val="clear" w:color="auto" w:fill="FFFFFF"/>
      <w:spacing w:line="0" w:lineRule="atLeast"/>
      <w:ind w:firstLine="0"/>
    </w:pPr>
    <w:rPr>
      <w:rFonts w:ascii="Times New Roman" w:eastAsia="Times New Roman" w:hAnsi="Times New Roman"/>
      <w:sz w:val="23"/>
      <w:szCs w:val="23"/>
    </w:rPr>
  </w:style>
  <w:style w:type="character" w:customStyle="1" w:styleId="11pt">
    <w:name w:val="Основной текст + 11 pt;Полужирный"/>
    <w:basedOn w:val="aff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53">
    <w:name w:val="Основной текст (5)_"/>
    <w:basedOn w:val="a1"/>
    <w:link w:val="54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54">
    <w:name w:val="Основной текст (5)"/>
    <w:basedOn w:val="a0"/>
    <w:link w:val="53"/>
    <w:pPr>
      <w:widowControl w:val="0"/>
      <w:shd w:val="clear" w:color="auto" w:fill="FFFFFF"/>
      <w:spacing w:after="60" w:line="0" w:lineRule="atLeast"/>
      <w:ind w:hanging="1880"/>
    </w:pPr>
    <w:rPr>
      <w:rFonts w:ascii="Times New Roman" w:eastAsia="Times New Roman" w:hAnsi="Times New Roman"/>
      <w:b/>
      <w:bCs/>
      <w:sz w:val="23"/>
      <w:szCs w:val="23"/>
    </w:rPr>
  </w:style>
  <w:style w:type="table" w:customStyle="1" w:styleId="GridTable5Dark-Accent4">
    <w:name w:val="Grid Table 5 Dark- Accent 4"/>
    <w:basedOn w:val="a2"/>
    <w:uiPriority w:val="99"/>
    <w:rPr>
      <w:rFonts w:ascii="Times New Roman" w:eastAsia="Times New Roman" w:hAnsi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paragraph" w:customStyle="1" w:styleId="17">
    <w:name w:val="Основной текст1"/>
    <w:basedOn w:val="a0"/>
    <w:pPr>
      <w:widowControl w:val="0"/>
      <w:shd w:val="clear" w:color="auto" w:fill="FFFFFF"/>
      <w:spacing w:line="259" w:lineRule="auto"/>
      <w:ind w:firstLine="400"/>
      <w:jc w:val="both"/>
    </w:pPr>
    <w:rPr>
      <w:rFonts w:ascii="Times New Roman" w:eastAsia="Times New Roman" w:hAnsi="Times New Roman"/>
      <w:color w:val="000000"/>
      <w:lang w:eastAsia="ru-RU" w:bidi="ru-RU"/>
    </w:r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7%D0%B0%D0%BA%D0%BE%D0%BD%D0%BE%D0%B4%D0%B0%D1%82%D0%B5%D0%BB%D1%8C%D1%81%D1%82%D0%B2%D0%B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вердый переплет">
      <a:majorFont>
        <a:latin typeface="Book Antiqua"/>
        <a:ea typeface="Arial"/>
        <a:cs typeface="Arial"/>
      </a:majorFont>
      <a:minorFont>
        <a:latin typeface="Book Antiqua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22FE7-FEF9-4DAE-B043-EE806AF59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7130</Words>
  <Characters>40644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родолжение формы 1 ОРИД ГПГР Сведения о финансовых вложениях и обязательствах</vt:lpstr>
    </vt:vector>
  </TitlesOfParts>
  <Company/>
  <LinksUpToDate>false</LinksUpToDate>
  <CharactersWithSpaces>47679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родолжение формы 1 ОРИД ГПГР Сведения о финансовых вложениях и обязательствах</dc:title>
  <dc:creator>Ныркова Мария Геннадьевна</dc:creator>
  <cp:lastModifiedBy>Гайнутдинова Виктория Анатольевна</cp:lastModifiedBy>
  <cp:revision>2</cp:revision>
  <dcterms:created xsi:type="dcterms:W3CDTF">2024-11-18T12:08:00Z</dcterms:created>
  <dcterms:modified xsi:type="dcterms:W3CDTF">2024-11-18T12:08:00Z</dcterms:modified>
</cp:coreProperties>
</file>